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等线" w:hAnsi="等线" w:eastAsia="等线" w:cs="宋体"/>
          <w:bCs/>
          <w:sz w:val="32"/>
          <w:szCs w:val="32"/>
        </w:rPr>
      </w:pPr>
    </w:p>
    <w:p>
      <w:pPr>
        <w:spacing w:line="62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关于开展杭州市2</w:t>
      </w:r>
      <w:r>
        <w:rPr>
          <w:rFonts w:ascii="方正小标宋简体" w:hAnsi="方正小标宋简体" w:eastAsia="方正小标宋简体"/>
          <w:sz w:val="44"/>
          <w:szCs w:val="44"/>
        </w:rPr>
        <w:t>020</w:t>
      </w:r>
      <w:r>
        <w:rPr>
          <w:rFonts w:hint="eastAsia" w:ascii="方正小标宋简体" w:hAnsi="方正小标宋简体" w:eastAsia="方正小标宋简体"/>
          <w:sz w:val="44"/>
          <w:szCs w:val="44"/>
        </w:rPr>
        <w:t>年度人工智能企业</w:t>
      </w:r>
    </w:p>
    <w:p>
      <w:pPr>
        <w:spacing w:line="620" w:lineRule="exact"/>
        <w:jc w:val="center"/>
        <w:rPr>
          <w:rFonts w:ascii="方正小标宋简体" w:hAnsi="等线" w:eastAsia="方正小标宋简体"/>
          <w:sz w:val="44"/>
          <w:szCs w:val="44"/>
        </w:rPr>
      </w:pPr>
      <w:r>
        <w:rPr>
          <w:rFonts w:hint="eastAsia" w:ascii="方正小标宋简体" w:hAnsi="方正小标宋简体" w:eastAsia="方正小标宋简体"/>
          <w:sz w:val="44"/>
          <w:szCs w:val="44"/>
        </w:rPr>
        <w:t>备案的通知</w:t>
      </w:r>
    </w:p>
    <w:p>
      <w:pPr>
        <w:spacing w:line="360" w:lineRule="auto"/>
        <w:rPr>
          <w:sz w:val="32"/>
          <w:szCs w:val="32"/>
        </w:rPr>
      </w:pPr>
    </w:p>
    <w:p>
      <w:pPr>
        <w:spacing w:line="60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园区各</w:t>
      </w:r>
      <w:r>
        <w:rPr>
          <w:rFonts w:hint="eastAsia" w:ascii="华文仿宋" w:hAnsi="华文仿宋" w:eastAsia="华文仿宋" w:cs="华文仿宋"/>
          <w:sz w:val="32"/>
          <w:szCs w:val="32"/>
        </w:rPr>
        <w:t>有关企业：</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根据浙江省科技厅《关于开展2020年度人工智能企业补正调查工作的通知》，现开展杭州市2020年人工智能企业备案工作通知如下：</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一、工作目的</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为深入推进《浙江省新一代人工智能发展规划》的实施，及时掌握人工智能企业分布，动态监测、跟踪反映人工智能产业发展状况，根据省统计局、省科技厅《关于建立&lt;浙江省人工智能产业统计监测制度（试行）&gt;的通知》（浙统〔2019〕28号），对全省人工智能企业统计名录进行补正调查，作为后续人工智能产业月度监测的基础。</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杭州市科学技术局将根据省级部门确定的在杭人工智能企业名录，建立杭州市人工智能企业库。</w:t>
      </w:r>
    </w:p>
    <w:p>
      <w:pPr>
        <w:spacing w:line="580" w:lineRule="exact"/>
        <w:ind w:firstLine="640" w:firstLineChars="200"/>
        <w:rPr>
          <w:rFonts w:hint="eastAsia" w:ascii="华文仿宋" w:hAnsi="华文仿宋" w:eastAsia="华文仿宋" w:cs="华文仿宋"/>
          <w:bCs/>
          <w:kern w:val="44"/>
          <w:sz w:val="32"/>
          <w:szCs w:val="32"/>
        </w:rPr>
      </w:pPr>
      <w:r>
        <w:rPr>
          <w:rFonts w:hint="eastAsia" w:ascii="华文仿宋" w:hAnsi="华文仿宋" w:eastAsia="华文仿宋" w:cs="华文仿宋"/>
          <w:bCs/>
          <w:kern w:val="44"/>
          <w:sz w:val="32"/>
          <w:szCs w:val="32"/>
        </w:rPr>
        <w:t>二、填报对象</w:t>
      </w:r>
    </w:p>
    <w:p>
      <w:pPr>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此次调查的人工智能企业，应在杭州市域范围内注册，具有独立法人资格，并满足以下条件之一：</w:t>
      </w:r>
    </w:p>
    <w:p>
      <w:pPr>
        <w:numPr>
          <w:ilvl w:val="0"/>
          <w:numId w:val="1"/>
        </w:numPr>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从事人工智能核心和关联产品生产的企业。经营范围属于《浙江省新一代人工智能发展规划》确定的智能安防、智能家居、智能汽车、智能机器人、智能软硬件及产品5个产业领域；不属于上述5个产业的企业，作为“其他”列入调查范围。对照《浙江省新一代人工智能发展规划》确定的5个人工智能产业的统计参考目录见附件1。</w:t>
      </w:r>
    </w:p>
    <w:p>
      <w:pPr>
        <w:numPr>
          <w:ilvl w:val="0"/>
          <w:numId w:val="1"/>
        </w:numPr>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应用人工智能技术开展智能化生产（服务）活动的</w:t>
      </w:r>
      <w:bookmarkStart w:id="0" w:name="OLE_LINK298"/>
      <w:bookmarkStart w:id="1" w:name="OLE_LINK299"/>
      <w:r>
        <w:rPr>
          <w:rFonts w:hint="eastAsia" w:ascii="华文仿宋" w:hAnsi="华文仿宋" w:eastAsia="华文仿宋" w:cs="华文仿宋"/>
          <w:sz w:val="32"/>
          <w:szCs w:val="32"/>
        </w:rPr>
        <w:t>目标企业</w:t>
      </w:r>
      <w:bookmarkEnd w:id="0"/>
      <w:bookmarkEnd w:id="1"/>
      <w:r>
        <w:rPr>
          <w:rFonts w:hint="eastAsia" w:ascii="华文仿宋" w:hAnsi="华文仿宋" w:eastAsia="华文仿宋" w:cs="华文仿宋"/>
          <w:sz w:val="32"/>
          <w:szCs w:val="32"/>
        </w:rPr>
        <w:t>，服务领域涵盖农业、制造业、医疗卫生、金融、商务、物流、教育、文创体育、健康养老、政务、法庭、交通、环保等13个产业领域；不属于上述13个领域的目标企业，作为“其他”列入调查范围。</w:t>
      </w:r>
    </w:p>
    <w:p>
      <w:pPr>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3. 已拥有（或已申请、拟申请）人工智能相关专利的企业。</w:t>
      </w:r>
    </w:p>
    <w:p>
      <w:pPr>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4. 已经纳入2019年度浙江省人工智能产业统计范围的行业内企业和行业外企业无需填报（已纳入企业已分配帐号）。</w:t>
      </w:r>
    </w:p>
    <w:p>
      <w:pPr>
        <w:spacing w:line="580" w:lineRule="exact"/>
        <w:ind w:left="640"/>
        <w:rPr>
          <w:rFonts w:hint="eastAsia" w:ascii="华文仿宋" w:hAnsi="华文仿宋" w:eastAsia="华文仿宋" w:cs="华文仿宋"/>
          <w:bCs/>
          <w:kern w:val="44"/>
          <w:sz w:val="32"/>
          <w:szCs w:val="32"/>
        </w:rPr>
      </w:pPr>
      <w:r>
        <w:rPr>
          <w:rFonts w:hint="eastAsia" w:ascii="华文仿宋" w:hAnsi="华文仿宋" w:eastAsia="华文仿宋" w:cs="华文仿宋"/>
          <w:bCs/>
          <w:kern w:val="44"/>
          <w:sz w:val="32"/>
          <w:szCs w:val="32"/>
        </w:rPr>
        <w:t>三、</w:t>
      </w:r>
      <w:r>
        <w:rPr>
          <w:rFonts w:hint="eastAsia" w:ascii="华文仿宋" w:hAnsi="华文仿宋" w:eastAsia="华文仿宋" w:cs="华文仿宋"/>
          <w:bCs/>
          <w:kern w:val="44"/>
          <w:sz w:val="32"/>
          <w:szCs w:val="32"/>
          <w:lang w:eastAsia="zh-CN"/>
        </w:rPr>
        <w:t>填报</w:t>
      </w:r>
      <w:r>
        <w:rPr>
          <w:rFonts w:hint="eastAsia" w:ascii="华文仿宋" w:hAnsi="华文仿宋" w:eastAsia="华文仿宋" w:cs="华文仿宋"/>
          <w:bCs/>
          <w:kern w:val="44"/>
          <w:sz w:val="32"/>
          <w:szCs w:val="32"/>
        </w:rPr>
        <w:t>要求</w:t>
      </w:r>
    </w:p>
    <w:p>
      <w:pPr>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园区</w:t>
      </w:r>
      <w:r>
        <w:rPr>
          <w:rFonts w:hint="eastAsia" w:ascii="华文仿宋" w:hAnsi="华文仿宋" w:eastAsia="华文仿宋" w:cs="华文仿宋"/>
          <w:sz w:val="32"/>
          <w:szCs w:val="32"/>
        </w:rPr>
        <w:t>内符合条件的人工智能企业填报基本信息，企业在线填报信息截止时间为3月16日上午10点。</w:t>
      </w:r>
    </w:p>
    <w:p>
      <w:pPr>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方式一：企业直接在问卷星填报基本信息。</w:t>
      </w:r>
    </w:p>
    <w:p>
      <w:pPr>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网址为：https://www.wjx.cn/jq/63305510.aspx。</w:t>
      </w:r>
    </w:p>
    <w:p>
      <w:pPr>
        <w:spacing w:line="60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方式二：</w:t>
      </w:r>
      <w:r>
        <w:rPr>
          <w:rFonts w:hint="eastAsia" w:ascii="华文仿宋" w:hAnsi="华文仿宋" w:eastAsia="华文仿宋" w:cs="华文仿宋"/>
          <w:sz w:val="32"/>
          <w:szCs w:val="32"/>
          <w:lang w:eastAsia="zh-CN"/>
        </w:rPr>
        <w:t>企业填写</w:t>
      </w:r>
      <w:bookmarkStart w:id="10" w:name="_GoBack"/>
      <w:bookmarkEnd w:id="10"/>
      <w:r>
        <w:rPr>
          <w:rFonts w:hint="eastAsia" w:ascii="华文仿宋" w:hAnsi="华文仿宋" w:eastAsia="华文仿宋" w:cs="华文仿宋"/>
          <w:sz w:val="32"/>
          <w:szCs w:val="32"/>
          <w:lang w:eastAsia="zh-CN"/>
        </w:rPr>
        <w:t>好附件</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lang w:eastAsia="zh-CN"/>
        </w:rPr>
        <w:t>并将电子版发送至邮箱：</w:t>
      </w:r>
      <w:r>
        <w:rPr>
          <w:rFonts w:hint="eastAsia" w:ascii="华文仿宋" w:hAnsi="华文仿宋" w:eastAsia="华文仿宋" w:cs="华文仿宋"/>
          <w:sz w:val="32"/>
          <w:szCs w:val="32"/>
          <w:lang w:val="en-US" w:eastAsia="zh-CN"/>
        </w:rPr>
        <w:fldChar w:fldCharType="begin"/>
      </w:r>
      <w:r>
        <w:rPr>
          <w:rFonts w:hint="eastAsia" w:ascii="华文仿宋" w:hAnsi="华文仿宋" w:eastAsia="华文仿宋" w:cs="华文仿宋"/>
          <w:sz w:val="32"/>
          <w:szCs w:val="32"/>
          <w:lang w:val="en-US" w:eastAsia="zh-CN"/>
        </w:rPr>
        <w:instrText xml:space="preserve"> HYPERLINK "mailto:87025899@qq.com" </w:instrText>
      </w:r>
      <w:r>
        <w:rPr>
          <w:rFonts w:hint="eastAsia" w:ascii="华文仿宋" w:hAnsi="华文仿宋" w:eastAsia="华文仿宋" w:cs="华文仿宋"/>
          <w:sz w:val="32"/>
          <w:szCs w:val="32"/>
          <w:lang w:val="en-US" w:eastAsia="zh-CN"/>
        </w:rPr>
        <w:fldChar w:fldCharType="separate"/>
      </w:r>
      <w:r>
        <w:rPr>
          <w:rFonts w:hint="eastAsia" w:ascii="华文仿宋" w:hAnsi="华文仿宋" w:eastAsia="华文仿宋" w:cs="华文仿宋"/>
          <w:sz w:val="32"/>
          <w:szCs w:val="32"/>
          <w:lang w:val="en-US" w:eastAsia="zh-CN"/>
        </w:rPr>
        <w:t>87025899@qq.com</w:t>
      </w:r>
      <w:r>
        <w:rPr>
          <w:rFonts w:hint="eastAsia" w:ascii="华文仿宋" w:hAnsi="华文仿宋" w:eastAsia="华文仿宋" w:cs="华文仿宋"/>
          <w:sz w:val="32"/>
          <w:szCs w:val="32"/>
          <w:lang w:val="en-US" w:eastAsia="zh-CN"/>
        </w:rPr>
        <w:fldChar w:fldCharType="end"/>
      </w:r>
      <w:r>
        <w:rPr>
          <w:rFonts w:hint="eastAsia" w:ascii="华文仿宋" w:hAnsi="华文仿宋" w:eastAsia="华文仿宋" w:cs="华文仿宋"/>
          <w:sz w:val="32"/>
          <w:szCs w:val="32"/>
          <w:lang w:val="en-US" w:eastAsia="zh-CN"/>
        </w:rPr>
        <w:t>。</w:t>
      </w:r>
    </w:p>
    <w:p>
      <w:pPr>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QQ交流群：953016223</w:t>
      </w:r>
    </w:p>
    <w:p>
      <w:pPr>
        <w:spacing w:line="600" w:lineRule="exact"/>
        <w:ind w:firstLine="640" w:firstLineChars="200"/>
        <w:rPr>
          <w:rFonts w:hint="eastAsia" w:ascii="华文仿宋" w:hAnsi="华文仿宋" w:eastAsia="华文仿宋" w:cs="华文仿宋"/>
          <w:sz w:val="32"/>
          <w:szCs w:val="32"/>
          <w:lang w:val="en-US" w:eastAsia="zh-CN"/>
        </w:rPr>
      </w:pPr>
    </w:p>
    <w:p>
      <w:pPr>
        <w:spacing w:line="600" w:lineRule="exact"/>
        <w:ind w:firstLine="641" w:firstLineChars="20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注：企业不管是哪种方式上报，请将附件2填写好电子版报送一份给园区企业管理部，联系人：邵纾盈，联系电话：56970700，邮箱：</w:t>
      </w:r>
      <w:r>
        <w:rPr>
          <w:rFonts w:hint="eastAsia" w:ascii="华文仿宋" w:hAnsi="华文仿宋" w:eastAsia="华文仿宋" w:cs="华文仿宋"/>
          <w:b/>
          <w:bCs/>
          <w:sz w:val="32"/>
          <w:szCs w:val="32"/>
          <w:lang w:val="en-US" w:eastAsia="zh-CN"/>
        </w:rPr>
        <w:fldChar w:fldCharType="begin"/>
      </w:r>
      <w:r>
        <w:rPr>
          <w:rFonts w:hint="eastAsia" w:ascii="华文仿宋" w:hAnsi="华文仿宋" w:eastAsia="华文仿宋" w:cs="华文仿宋"/>
          <w:b/>
          <w:bCs/>
          <w:sz w:val="32"/>
          <w:szCs w:val="32"/>
          <w:lang w:val="en-US" w:eastAsia="zh-CN"/>
        </w:rPr>
        <w:instrText xml:space="preserve"> HYPERLINK "mailto:87025899@qq.com" </w:instrText>
      </w:r>
      <w:r>
        <w:rPr>
          <w:rFonts w:hint="eastAsia" w:ascii="华文仿宋" w:hAnsi="华文仿宋" w:eastAsia="华文仿宋" w:cs="华文仿宋"/>
          <w:b/>
          <w:bCs/>
          <w:sz w:val="32"/>
          <w:szCs w:val="32"/>
          <w:lang w:val="en-US" w:eastAsia="zh-CN"/>
        </w:rPr>
        <w:fldChar w:fldCharType="separate"/>
      </w:r>
      <w:r>
        <w:rPr>
          <w:rFonts w:hint="eastAsia" w:ascii="华文仿宋" w:hAnsi="华文仿宋" w:eastAsia="华文仿宋" w:cs="华文仿宋"/>
          <w:b/>
          <w:bCs/>
          <w:sz w:val="32"/>
          <w:szCs w:val="32"/>
          <w:lang w:val="en-US" w:eastAsia="zh-CN"/>
        </w:rPr>
        <w:t>87025899@qq.com</w:t>
      </w:r>
      <w:r>
        <w:rPr>
          <w:rFonts w:hint="eastAsia" w:ascii="华文仿宋" w:hAnsi="华文仿宋" w:eastAsia="华文仿宋" w:cs="华文仿宋"/>
          <w:b/>
          <w:bCs/>
          <w:sz w:val="32"/>
          <w:szCs w:val="32"/>
          <w:lang w:val="en-US" w:eastAsia="zh-CN"/>
        </w:rPr>
        <w:fldChar w:fldCharType="end"/>
      </w:r>
      <w:r>
        <w:rPr>
          <w:rFonts w:hint="eastAsia" w:ascii="华文仿宋" w:hAnsi="华文仿宋" w:eastAsia="华文仿宋" w:cs="华文仿宋"/>
          <w:b/>
          <w:bCs/>
          <w:sz w:val="32"/>
          <w:szCs w:val="32"/>
          <w:lang w:val="en-US" w:eastAsia="zh-CN"/>
        </w:rPr>
        <w:t>，便于园区统计和管理。</w:t>
      </w:r>
    </w:p>
    <w:p>
      <w:pPr>
        <w:spacing w:line="600" w:lineRule="exact"/>
        <w:ind w:firstLine="640" w:firstLineChars="200"/>
        <w:rPr>
          <w:rFonts w:hint="eastAsia" w:ascii="华文仿宋" w:hAnsi="华文仿宋" w:eastAsia="华文仿宋" w:cs="华文仿宋"/>
          <w:sz w:val="32"/>
          <w:szCs w:val="32"/>
        </w:rPr>
      </w:pPr>
    </w:p>
    <w:p>
      <w:pPr>
        <w:spacing w:line="600" w:lineRule="exact"/>
        <w:ind w:firstLine="640" w:firstLineChars="200"/>
        <w:rPr>
          <w:rFonts w:hint="eastAsia" w:ascii="华文仿宋" w:hAnsi="华文仿宋" w:eastAsia="华文仿宋" w:cs="华文仿宋"/>
          <w:sz w:val="32"/>
          <w:szCs w:val="32"/>
        </w:rPr>
      </w:pPr>
    </w:p>
    <w:p>
      <w:pPr>
        <w:spacing w:line="60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附件：1.浙江省人工智能行业统计分类参考目录</w:t>
      </w:r>
    </w:p>
    <w:p>
      <w:pPr>
        <w:spacing w:line="58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2.杭州市人工智能企业备案清单</w:t>
      </w:r>
    </w:p>
    <w:p>
      <w:pPr>
        <w:spacing w:line="580" w:lineRule="exact"/>
        <w:ind w:firstLine="640" w:firstLineChars="200"/>
        <w:rPr>
          <w:rFonts w:hint="eastAsia" w:ascii="华文仿宋" w:hAnsi="华文仿宋" w:eastAsia="华文仿宋" w:cs="华文仿宋"/>
          <w:sz w:val="32"/>
          <w:szCs w:val="32"/>
        </w:rPr>
      </w:pPr>
    </w:p>
    <w:p>
      <w:pPr>
        <w:spacing w:line="580" w:lineRule="exact"/>
        <w:ind w:firstLine="1600" w:firstLineChars="500"/>
        <w:rPr>
          <w:rFonts w:hint="eastAsia" w:ascii="华文仿宋" w:hAnsi="华文仿宋" w:eastAsia="华文仿宋" w:cs="华文仿宋"/>
          <w:sz w:val="32"/>
          <w:szCs w:val="32"/>
        </w:rPr>
      </w:pPr>
    </w:p>
    <w:p>
      <w:pPr>
        <w:spacing w:line="580" w:lineRule="exact"/>
        <w:ind w:right="935" w:firstLine="640" w:firstLineChars="200"/>
        <w:jc w:val="right"/>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浙江省国家大学科技园</w:t>
      </w:r>
    </w:p>
    <w:p>
      <w:pPr>
        <w:spacing w:line="580" w:lineRule="exact"/>
        <w:ind w:right="935" w:firstLine="640" w:firstLineChars="200"/>
        <w:jc w:val="right"/>
        <w:rPr>
          <w:rFonts w:hint="eastAsia" w:ascii="华文仿宋" w:hAnsi="华文仿宋" w:eastAsia="华文仿宋" w:cs="华文仿宋"/>
          <w:sz w:val="32"/>
          <w:szCs w:val="32"/>
        </w:rPr>
      </w:pPr>
      <w:r>
        <w:rPr>
          <w:rFonts w:hint="eastAsia" w:ascii="华文仿宋" w:hAnsi="华文仿宋" w:eastAsia="华文仿宋" w:cs="华文仿宋"/>
          <w:sz w:val="32"/>
          <w:szCs w:val="32"/>
        </w:rPr>
        <w:t>2020年3月1</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日</w:t>
      </w:r>
    </w:p>
    <w:p>
      <w:pPr>
        <w:spacing w:line="580" w:lineRule="exact"/>
        <w:rPr>
          <w:rFonts w:hint="eastAsia" w:ascii="华文仿宋" w:hAnsi="华文仿宋" w:eastAsia="华文仿宋" w:cs="华文仿宋"/>
          <w:color w:val="FF0000"/>
          <w:sz w:val="32"/>
          <w:szCs w:val="32"/>
        </w:rPr>
      </w:pPr>
    </w:p>
    <w:p>
      <w:pPr>
        <w:spacing w:line="580" w:lineRule="exact"/>
        <w:rPr>
          <w:rFonts w:eastAsia="方正仿宋简体"/>
          <w:color w:val="FF0000"/>
          <w:sz w:val="32"/>
          <w:szCs w:val="32"/>
        </w:rPr>
      </w:pPr>
    </w:p>
    <w:p>
      <w:pPr>
        <w:spacing w:line="600" w:lineRule="exact"/>
        <w:rPr>
          <w:rFonts w:ascii="黑体" w:hAnsi="黑体" w:eastAsia="黑体"/>
          <w:sz w:val="32"/>
          <w:szCs w:val="32"/>
        </w:rPr>
      </w:pPr>
      <w:r>
        <w:rPr>
          <w:rFonts w:ascii="黑体" w:hAnsi="黑体" w:eastAsia="黑体"/>
          <w:sz w:val="32"/>
          <w:szCs w:val="32"/>
        </w:rPr>
        <w:br w:type="page"/>
      </w:r>
    </w:p>
    <w:p>
      <w:pPr>
        <w:spacing w:line="600" w:lineRule="exact"/>
        <w:rPr>
          <w:rFonts w:ascii="黑体" w:hAnsi="黑体" w:eastAsia="黑体"/>
          <w:sz w:val="32"/>
          <w:szCs w:val="32"/>
        </w:rPr>
      </w:pPr>
      <w:r>
        <w:rPr>
          <w:rFonts w:hint="eastAsia" w:ascii="黑体" w:hAnsi="黑体" w:eastAsia="黑体"/>
          <w:sz w:val="32"/>
          <w:szCs w:val="32"/>
        </w:rPr>
        <w:t>附件1</w:t>
      </w:r>
    </w:p>
    <w:p/>
    <w:p>
      <w:pPr>
        <w:widowControl/>
        <w:spacing w:line="560" w:lineRule="exact"/>
        <w:jc w:val="center"/>
        <w:rPr>
          <w:rFonts w:ascii="方正小标宋简体" w:eastAsia="方正小标宋简体" w:cs="宋体" w:hAnsiTheme="minorEastAsia"/>
          <w:bCs/>
          <w:kern w:val="0"/>
          <w:sz w:val="44"/>
          <w:szCs w:val="44"/>
        </w:rPr>
      </w:pPr>
      <w:r>
        <w:rPr>
          <w:rFonts w:hint="eastAsia" w:ascii="方正小标宋简体" w:eastAsia="方正小标宋简体" w:cs="宋体" w:hAnsiTheme="minorEastAsia"/>
          <w:bCs/>
          <w:kern w:val="0"/>
          <w:sz w:val="44"/>
          <w:szCs w:val="44"/>
        </w:rPr>
        <w:t>浙江省人工智能行业统计分类参考目录</w:t>
      </w:r>
    </w:p>
    <w:p>
      <w:pPr>
        <w:widowControl/>
        <w:spacing w:line="560" w:lineRule="exact"/>
        <w:jc w:val="center"/>
        <w:rPr>
          <w:rFonts w:ascii="方正小标宋简体" w:eastAsia="方正小标宋简体" w:cs="宋体" w:hAnsiTheme="minorEastAsia"/>
          <w:bCs/>
          <w:kern w:val="0"/>
          <w:sz w:val="44"/>
          <w:szCs w:val="44"/>
        </w:rPr>
      </w:pPr>
    </w:p>
    <w:tbl>
      <w:tblPr>
        <w:tblStyle w:val="6"/>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2268"/>
        <w:gridCol w:w="5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8" w:type="dxa"/>
            <w:vAlign w:val="center"/>
          </w:tcPr>
          <w:p>
            <w:pPr>
              <w:spacing w:line="320" w:lineRule="exact"/>
              <w:jc w:val="left"/>
              <w:rPr>
                <w:rFonts w:ascii="仿宋_GB2312" w:hAnsi="黑体" w:eastAsia="仿宋_GB2312" w:cs="黑体"/>
                <w:sz w:val="28"/>
                <w:szCs w:val="28"/>
              </w:rPr>
            </w:pPr>
            <w:r>
              <w:rPr>
                <w:rFonts w:hint="eastAsia" w:ascii="仿宋_GB2312" w:hAnsi="黑体" w:eastAsia="仿宋_GB2312" w:cs="黑体"/>
                <w:sz w:val="28"/>
                <w:szCs w:val="28"/>
              </w:rPr>
              <w:t>产业名称</w:t>
            </w:r>
          </w:p>
        </w:tc>
        <w:tc>
          <w:tcPr>
            <w:tcW w:w="2268" w:type="dxa"/>
            <w:vAlign w:val="center"/>
          </w:tcPr>
          <w:p>
            <w:pPr>
              <w:spacing w:line="320" w:lineRule="exact"/>
              <w:jc w:val="center"/>
              <w:rPr>
                <w:rFonts w:ascii="仿宋_GB2312" w:hAnsi="黑体" w:eastAsia="仿宋_GB2312" w:cs="黑体"/>
                <w:sz w:val="28"/>
                <w:szCs w:val="28"/>
              </w:rPr>
            </w:pPr>
            <w:r>
              <w:rPr>
                <w:rFonts w:hint="eastAsia" w:ascii="仿宋_GB2312" w:hAnsi="黑体" w:eastAsia="仿宋_GB2312" w:cs="黑体"/>
                <w:sz w:val="28"/>
                <w:szCs w:val="28"/>
              </w:rPr>
              <w:t>产品类型</w:t>
            </w:r>
          </w:p>
        </w:tc>
        <w:tc>
          <w:tcPr>
            <w:tcW w:w="5582" w:type="dxa"/>
            <w:vAlign w:val="center"/>
          </w:tcPr>
          <w:p>
            <w:pPr>
              <w:spacing w:line="320" w:lineRule="exact"/>
              <w:jc w:val="center"/>
              <w:rPr>
                <w:rFonts w:ascii="仿宋_GB2312" w:hAnsi="黑体" w:eastAsia="仿宋_GB2312" w:cs="黑体"/>
                <w:sz w:val="28"/>
                <w:szCs w:val="28"/>
              </w:rPr>
            </w:pPr>
            <w:r>
              <w:rPr>
                <w:rFonts w:hint="eastAsia" w:ascii="仿宋_GB2312" w:hAnsi="黑体" w:eastAsia="仿宋_GB2312" w:cs="黑体"/>
                <w:sz w:val="28"/>
                <w:szCs w:val="28"/>
              </w:rPr>
              <w:t>产品说明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Merge w:val="restart"/>
            <w:vAlign w:val="center"/>
          </w:tcPr>
          <w:p>
            <w:pPr>
              <w:spacing w:line="260" w:lineRule="exact"/>
              <w:jc w:val="left"/>
              <w:rPr>
                <w:rFonts w:ascii="仿宋_GB2312" w:hAnsi="仿宋" w:eastAsia="仿宋_GB2312"/>
                <w:sz w:val="24"/>
              </w:rPr>
            </w:pPr>
            <w:r>
              <w:rPr>
                <w:rFonts w:hint="eastAsia" w:ascii="仿宋_GB2312" w:hAnsi="仿宋" w:eastAsia="仿宋_GB2312"/>
                <w:sz w:val="24"/>
              </w:rPr>
              <w:t>智能安防</w:t>
            </w:r>
          </w:p>
        </w:tc>
        <w:tc>
          <w:tcPr>
            <w:tcW w:w="2268" w:type="dxa"/>
            <w:vAlign w:val="center"/>
          </w:tcPr>
          <w:p>
            <w:pPr>
              <w:spacing w:line="260" w:lineRule="exact"/>
              <w:jc w:val="left"/>
              <w:rPr>
                <w:rFonts w:ascii="仿宋_GB2312" w:hAnsi="仿宋" w:eastAsia="仿宋_GB2312"/>
                <w:sz w:val="24"/>
              </w:rPr>
            </w:pPr>
            <w:bookmarkStart w:id="2" w:name="OLE_LINK1"/>
            <w:bookmarkStart w:id="3" w:name="OLE_LINK2"/>
            <w:r>
              <w:rPr>
                <w:rFonts w:hint="eastAsia" w:ascii="仿宋_GB2312" w:hAnsi="仿宋" w:eastAsia="仿宋_GB2312"/>
                <w:sz w:val="24"/>
              </w:rPr>
              <w:t>智能视频监控</w:t>
            </w:r>
            <w:bookmarkEnd w:id="2"/>
            <w:bookmarkEnd w:id="3"/>
          </w:p>
        </w:tc>
        <w:tc>
          <w:tcPr>
            <w:tcW w:w="5582" w:type="dxa"/>
            <w:vAlign w:val="center"/>
          </w:tcPr>
          <w:p>
            <w:pPr>
              <w:spacing w:line="280" w:lineRule="exact"/>
              <w:rPr>
                <w:rFonts w:ascii="仿宋_GB2312" w:hAnsi="仿宋" w:eastAsia="仿宋_GB2312"/>
                <w:sz w:val="24"/>
              </w:rPr>
            </w:pPr>
            <w:r>
              <w:rPr>
                <w:rFonts w:hint="eastAsia" w:ascii="仿宋_GB2312" w:hAnsi="仿宋" w:eastAsia="仿宋_GB2312"/>
                <w:sz w:val="24"/>
              </w:rPr>
              <w:t>在不需要人为干预的情况下，利用计算机视觉技术对视频信号进行处理、分析和理解，并通过对序列图像自动分析对监控场景中的变化进行定位、识别和跟踪的视频监控设备及相关部件。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Merge w:val="continue"/>
            <w:vAlign w:val="center"/>
          </w:tcPr>
          <w:p>
            <w:pPr>
              <w:spacing w:line="260" w:lineRule="exact"/>
              <w:jc w:val="left"/>
              <w:rPr>
                <w:rFonts w:ascii="仿宋_GB2312" w:hAnsi="仿宋" w:eastAsia="仿宋_GB2312"/>
                <w:sz w:val="24"/>
              </w:rPr>
            </w:pPr>
          </w:p>
        </w:tc>
        <w:tc>
          <w:tcPr>
            <w:tcW w:w="2268" w:type="dxa"/>
            <w:vAlign w:val="center"/>
          </w:tcPr>
          <w:p>
            <w:pPr>
              <w:spacing w:line="260" w:lineRule="exact"/>
              <w:jc w:val="left"/>
              <w:rPr>
                <w:rFonts w:ascii="仿宋_GB2312" w:hAnsi="仿宋" w:eastAsia="仿宋_GB2312"/>
                <w:sz w:val="24"/>
              </w:rPr>
            </w:pPr>
            <w:r>
              <w:rPr>
                <w:rFonts w:hint="eastAsia" w:ascii="仿宋_GB2312" w:hAnsi="仿宋" w:eastAsia="仿宋_GB2312"/>
                <w:sz w:val="24"/>
              </w:rPr>
              <w:t>其他智能安防产品</w:t>
            </w:r>
          </w:p>
        </w:tc>
        <w:tc>
          <w:tcPr>
            <w:tcW w:w="5582" w:type="dxa"/>
            <w:vAlign w:val="center"/>
          </w:tcPr>
          <w:p>
            <w:pPr>
              <w:spacing w:line="280" w:lineRule="exact"/>
              <w:rPr>
                <w:rFonts w:ascii="仿宋_GB2312" w:hAnsi="仿宋" w:eastAsia="仿宋_GB2312"/>
                <w:sz w:val="24"/>
              </w:rPr>
            </w:pPr>
            <w:r>
              <w:rPr>
                <w:rFonts w:hint="eastAsia" w:ascii="仿宋_GB2312" w:hAnsi="仿宋" w:eastAsia="仿宋_GB2312"/>
                <w:sz w:val="24"/>
              </w:rPr>
              <w:t>具有智能感知、认知和执行的入侵探测器、防盗报警控制器和防盗报警系统、报警系统出入口控制设备、防盗保险柜、智能锁、防盗安全门等产品。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Merge w:val="restart"/>
            <w:vAlign w:val="center"/>
          </w:tcPr>
          <w:p>
            <w:pPr>
              <w:spacing w:line="260" w:lineRule="exact"/>
              <w:jc w:val="left"/>
              <w:rPr>
                <w:rFonts w:ascii="仿宋_GB2312" w:hAnsi="仿宋" w:eastAsia="仿宋_GB2312"/>
                <w:sz w:val="24"/>
              </w:rPr>
            </w:pPr>
            <w:r>
              <w:rPr>
                <w:rFonts w:hint="eastAsia" w:ascii="仿宋_GB2312" w:hAnsi="仿宋" w:eastAsia="仿宋_GB2312"/>
                <w:sz w:val="24"/>
              </w:rPr>
              <w:t>智能汽车</w:t>
            </w:r>
          </w:p>
        </w:tc>
        <w:tc>
          <w:tcPr>
            <w:tcW w:w="2268" w:type="dxa"/>
            <w:vAlign w:val="center"/>
          </w:tcPr>
          <w:p>
            <w:pPr>
              <w:spacing w:line="260" w:lineRule="exact"/>
              <w:jc w:val="left"/>
              <w:rPr>
                <w:rFonts w:ascii="仿宋_GB2312" w:hAnsi="仿宋" w:eastAsia="仿宋_GB2312"/>
                <w:sz w:val="24"/>
              </w:rPr>
            </w:pPr>
            <w:bookmarkStart w:id="4" w:name="OLE_LINK6"/>
            <w:r>
              <w:rPr>
                <w:rFonts w:hint="eastAsia" w:ascii="仿宋_GB2312" w:hAnsi="仿宋" w:eastAsia="仿宋_GB2312"/>
                <w:sz w:val="24"/>
              </w:rPr>
              <w:t>智能车载产品</w:t>
            </w:r>
            <w:bookmarkEnd w:id="4"/>
            <w:r>
              <w:rPr>
                <w:rFonts w:hint="eastAsia" w:ascii="仿宋_GB2312" w:hAnsi="仿宋" w:eastAsia="仿宋_GB2312"/>
                <w:sz w:val="24"/>
              </w:rPr>
              <w:t>制造</w:t>
            </w:r>
          </w:p>
        </w:tc>
        <w:tc>
          <w:tcPr>
            <w:tcW w:w="5582" w:type="dxa"/>
            <w:vAlign w:val="center"/>
          </w:tcPr>
          <w:p>
            <w:pPr>
              <w:spacing w:line="280" w:lineRule="exact"/>
              <w:rPr>
                <w:rFonts w:ascii="仿宋_GB2312" w:hAnsi="仿宋" w:eastAsia="仿宋_GB2312"/>
                <w:sz w:val="24"/>
              </w:rPr>
            </w:pPr>
            <w:r>
              <w:rPr>
                <w:rFonts w:hint="eastAsia" w:ascii="仿宋_GB2312" w:hAnsi="仿宋" w:eastAsia="仿宋_GB2312"/>
                <w:sz w:val="24"/>
              </w:rPr>
              <w:t>指包含具备汽车联网、自动驾驶、车内及车际通讯、智能交通基础设施通信等功能要素，融合了传感器、雷达、卫星定位、导航、人工智能等技术，使汽车具备智能环境感知能力，自动分析汽车行驶的安全及危险状态目的的车载终端产品及相关配套设备的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Merge w:val="continue"/>
            <w:vAlign w:val="center"/>
          </w:tcPr>
          <w:p>
            <w:pPr>
              <w:spacing w:line="260" w:lineRule="exact"/>
              <w:jc w:val="left"/>
              <w:rPr>
                <w:rFonts w:ascii="仿宋_GB2312" w:hAnsi="仿宋" w:eastAsia="仿宋_GB2312"/>
                <w:sz w:val="24"/>
              </w:rPr>
            </w:pPr>
          </w:p>
        </w:tc>
        <w:tc>
          <w:tcPr>
            <w:tcW w:w="2268" w:type="dxa"/>
            <w:vAlign w:val="center"/>
          </w:tcPr>
          <w:p>
            <w:pPr>
              <w:spacing w:line="260" w:lineRule="exact"/>
              <w:jc w:val="left"/>
              <w:rPr>
                <w:rFonts w:ascii="仿宋_GB2312" w:hAnsi="仿宋" w:eastAsia="仿宋_GB2312"/>
                <w:sz w:val="24"/>
              </w:rPr>
            </w:pPr>
            <w:r>
              <w:rPr>
                <w:rFonts w:hint="eastAsia" w:ascii="仿宋_GB2312" w:hAnsi="仿宋" w:eastAsia="仿宋_GB2312"/>
                <w:sz w:val="24"/>
              </w:rPr>
              <w:t>智能汽车</w:t>
            </w:r>
          </w:p>
        </w:tc>
        <w:tc>
          <w:tcPr>
            <w:tcW w:w="5582" w:type="dxa"/>
            <w:vAlign w:val="center"/>
          </w:tcPr>
          <w:p>
            <w:pPr>
              <w:spacing w:line="280" w:lineRule="exact"/>
              <w:rPr>
                <w:rFonts w:ascii="仿宋_GB2312" w:hAnsi="仿宋" w:eastAsia="仿宋_GB2312"/>
                <w:sz w:val="24"/>
              </w:rPr>
            </w:pPr>
            <w:r>
              <w:rPr>
                <w:rFonts w:hint="eastAsia" w:ascii="仿宋_GB2312" w:hAnsi="仿宋" w:eastAsia="仿宋_GB2312"/>
                <w:sz w:val="24"/>
              </w:rPr>
              <w:t>安装上述智能车载产品3个以上并具有一定辅助驾驶功能的整车、无人驾驶汽车及测试服务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Merge w:val="continue"/>
            <w:vAlign w:val="center"/>
          </w:tcPr>
          <w:p>
            <w:pPr>
              <w:spacing w:line="260" w:lineRule="exact"/>
              <w:jc w:val="left"/>
              <w:rPr>
                <w:rFonts w:ascii="仿宋_GB2312" w:hAnsi="仿宋" w:eastAsia="仿宋_GB2312"/>
                <w:sz w:val="24"/>
              </w:rPr>
            </w:pPr>
          </w:p>
        </w:tc>
        <w:tc>
          <w:tcPr>
            <w:tcW w:w="2268" w:type="dxa"/>
            <w:vAlign w:val="center"/>
          </w:tcPr>
          <w:p>
            <w:pPr>
              <w:spacing w:line="260" w:lineRule="exact"/>
              <w:jc w:val="left"/>
              <w:rPr>
                <w:rFonts w:ascii="仿宋_GB2312" w:hAnsi="仿宋" w:eastAsia="仿宋_GB2312"/>
                <w:sz w:val="24"/>
              </w:rPr>
            </w:pPr>
            <w:r>
              <w:rPr>
                <w:rFonts w:hint="eastAsia" w:ascii="仿宋_GB2312" w:hAnsi="仿宋" w:eastAsia="仿宋_GB2312"/>
                <w:sz w:val="24"/>
              </w:rPr>
              <w:t>其他</w:t>
            </w:r>
            <w:bookmarkStart w:id="5" w:name="OLE_LINK12"/>
            <w:r>
              <w:rPr>
                <w:rFonts w:hint="eastAsia" w:ascii="仿宋_GB2312" w:hAnsi="仿宋" w:eastAsia="仿宋_GB2312"/>
                <w:sz w:val="24"/>
              </w:rPr>
              <w:t>智能运输工具</w:t>
            </w:r>
            <w:bookmarkEnd w:id="5"/>
          </w:p>
        </w:tc>
        <w:tc>
          <w:tcPr>
            <w:tcW w:w="5582" w:type="dxa"/>
            <w:vAlign w:val="center"/>
          </w:tcPr>
          <w:p>
            <w:pPr>
              <w:spacing w:line="280" w:lineRule="exact"/>
              <w:rPr>
                <w:rFonts w:ascii="仿宋_GB2312" w:hAnsi="仿宋" w:eastAsia="仿宋_GB2312"/>
                <w:sz w:val="24"/>
              </w:rPr>
            </w:pPr>
            <w:r>
              <w:rPr>
                <w:rFonts w:hint="eastAsia" w:ascii="仿宋_GB2312" w:hAnsi="仿宋" w:eastAsia="仿宋_GB2312"/>
                <w:sz w:val="24"/>
              </w:rPr>
              <w:t>除汽车以外的其他具备智能驾驶、辅助驾驶功能的运输工具，如无人（辅助）驾驶船舶、自动（辅助）驾驶轨道交通等。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Merge w:val="restart"/>
            <w:vAlign w:val="center"/>
          </w:tcPr>
          <w:p>
            <w:pPr>
              <w:spacing w:line="260" w:lineRule="exact"/>
              <w:jc w:val="left"/>
              <w:rPr>
                <w:rFonts w:ascii="仿宋_GB2312" w:hAnsi="仿宋" w:eastAsia="仿宋_GB2312"/>
                <w:sz w:val="24"/>
              </w:rPr>
            </w:pPr>
            <w:r>
              <w:rPr>
                <w:rFonts w:hint="eastAsia" w:ascii="仿宋_GB2312" w:hAnsi="仿宋" w:eastAsia="仿宋_GB2312"/>
                <w:sz w:val="24"/>
              </w:rPr>
              <w:t>智能机器人</w:t>
            </w:r>
          </w:p>
        </w:tc>
        <w:tc>
          <w:tcPr>
            <w:tcW w:w="2268" w:type="dxa"/>
            <w:vAlign w:val="center"/>
          </w:tcPr>
          <w:p>
            <w:pPr>
              <w:spacing w:line="260" w:lineRule="exact"/>
              <w:jc w:val="left"/>
              <w:rPr>
                <w:rFonts w:ascii="仿宋_GB2312" w:hAnsi="仿宋" w:eastAsia="仿宋_GB2312"/>
                <w:sz w:val="24"/>
              </w:rPr>
            </w:pPr>
            <w:bookmarkStart w:id="6" w:name="OLE_LINK23"/>
            <w:r>
              <w:rPr>
                <w:rFonts w:hint="eastAsia" w:ascii="仿宋_GB2312" w:hAnsi="仿宋" w:eastAsia="仿宋_GB2312"/>
                <w:sz w:val="24"/>
              </w:rPr>
              <w:t>智能工业机器人</w:t>
            </w:r>
            <w:bookmarkEnd w:id="6"/>
          </w:p>
        </w:tc>
        <w:tc>
          <w:tcPr>
            <w:tcW w:w="5582" w:type="dxa"/>
            <w:vAlign w:val="center"/>
          </w:tcPr>
          <w:p>
            <w:pPr>
              <w:spacing w:line="280" w:lineRule="exact"/>
              <w:rPr>
                <w:rFonts w:ascii="仿宋_GB2312" w:hAnsi="仿宋" w:eastAsia="仿宋_GB2312"/>
                <w:sz w:val="24"/>
              </w:rPr>
            </w:pPr>
            <w:r>
              <w:rPr>
                <w:rFonts w:hint="eastAsia" w:ascii="仿宋_GB2312" w:hAnsi="仿宋" w:eastAsia="仿宋_GB2312"/>
                <w:sz w:val="24"/>
              </w:rPr>
              <w:t>具有智能感知、认知、控制和执行的工业和特殊作业用等机械手臂、运输或传输器具的部件及产品。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Merge w:val="continue"/>
            <w:vAlign w:val="center"/>
          </w:tcPr>
          <w:p>
            <w:pPr>
              <w:spacing w:line="260" w:lineRule="exact"/>
              <w:jc w:val="left"/>
              <w:rPr>
                <w:rFonts w:ascii="仿宋_GB2312" w:hAnsi="仿宋" w:eastAsia="仿宋_GB2312"/>
                <w:sz w:val="24"/>
              </w:rPr>
            </w:pPr>
          </w:p>
        </w:tc>
        <w:tc>
          <w:tcPr>
            <w:tcW w:w="2268" w:type="dxa"/>
            <w:vAlign w:val="center"/>
          </w:tcPr>
          <w:p>
            <w:pPr>
              <w:spacing w:line="260" w:lineRule="exact"/>
              <w:jc w:val="left"/>
              <w:rPr>
                <w:rFonts w:ascii="仿宋_GB2312" w:hAnsi="仿宋" w:eastAsia="仿宋_GB2312"/>
                <w:sz w:val="24"/>
              </w:rPr>
            </w:pPr>
            <w:r>
              <w:rPr>
                <w:rFonts w:hint="eastAsia" w:ascii="仿宋_GB2312" w:hAnsi="仿宋" w:eastAsia="仿宋_GB2312"/>
                <w:sz w:val="24"/>
              </w:rPr>
              <w:t>服务消费机器人</w:t>
            </w:r>
          </w:p>
        </w:tc>
        <w:tc>
          <w:tcPr>
            <w:tcW w:w="5582" w:type="dxa"/>
            <w:vAlign w:val="center"/>
          </w:tcPr>
          <w:p>
            <w:pPr>
              <w:spacing w:line="280" w:lineRule="exact"/>
              <w:rPr>
                <w:rFonts w:ascii="仿宋_GB2312" w:hAnsi="仿宋" w:eastAsia="仿宋_GB2312"/>
                <w:sz w:val="24"/>
              </w:rPr>
            </w:pPr>
            <w:r>
              <w:rPr>
                <w:rFonts w:hint="eastAsia" w:ascii="仿宋_GB2312" w:hAnsi="仿宋" w:eastAsia="仿宋_GB2312"/>
                <w:sz w:val="24"/>
              </w:rPr>
              <w:t>指除工业和特殊作业以外的各种机器人，包括用于个人、家庭及商业服务类机器人，如巡检机器人、家务机器人、餐饮用机器人、宾馆用机器人、销售用机器人、娱乐机器人、助老助残机器人、医疗机器人、清洁机器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18" w:type="dxa"/>
            <w:vMerge w:val="continue"/>
            <w:vAlign w:val="center"/>
          </w:tcPr>
          <w:p>
            <w:pPr>
              <w:spacing w:line="260" w:lineRule="exact"/>
              <w:jc w:val="left"/>
              <w:rPr>
                <w:rFonts w:ascii="仿宋_GB2312" w:hAnsi="仿宋" w:eastAsia="仿宋_GB2312"/>
                <w:sz w:val="24"/>
              </w:rPr>
            </w:pPr>
          </w:p>
        </w:tc>
        <w:tc>
          <w:tcPr>
            <w:tcW w:w="2268" w:type="dxa"/>
            <w:vAlign w:val="center"/>
          </w:tcPr>
          <w:p>
            <w:pPr>
              <w:spacing w:line="260" w:lineRule="exact"/>
              <w:jc w:val="left"/>
              <w:rPr>
                <w:rFonts w:ascii="仿宋_GB2312" w:hAnsi="仿宋" w:eastAsia="仿宋_GB2312"/>
                <w:sz w:val="24"/>
              </w:rPr>
            </w:pPr>
            <w:r>
              <w:rPr>
                <w:rFonts w:hint="eastAsia" w:ascii="仿宋_GB2312" w:hAnsi="仿宋" w:eastAsia="仿宋_GB2312"/>
                <w:sz w:val="24"/>
              </w:rPr>
              <w:t>其他智能消费设备</w:t>
            </w:r>
          </w:p>
        </w:tc>
        <w:tc>
          <w:tcPr>
            <w:tcW w:w="5582" w:type="dxa"/>
            <w:vAlign w:val="center"/>
          </w:tcPr>
          <w:p>
            <w:pPr>
              <w:spacing w:line="280" w:lineRule="exact"/>
              <w:rPr>
                <w:rFonts w:ascii="仿宋_GB2312" w:hAnsi="仿宋" w:eastAsia="仿宋_GB2312"/>
                <w:sz w:val="24"/>
              </w:rPr>
            </w:pPr>
            <w:r>
              <w:rPr>
                <w:rFonts w:hint="eastAsia" w:ascii="仿宋_GB2312" w:hAnsi="仿宋" w:eastAsia="仿宋_GB2312"/>
                <w:sz w:val="24"/>
              </w:rPr>
              <w:t>指其他未列明的智能消费设备的制造。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Merge w:val="restart"/>
            <w:vAlign w:val="center"/>
          </w:tcPr>
          <w:p>
            <w:pPr>
              <w:spacing w:line="260" w:lineRule="exact"/>
              <w:jc w:val="left"/>
              <w:rPr>
                <w:rFonts w:ascii="仿宋_GB2312" w:hAnsi="仿宋" w:eastAsia="仿宋_GB2312"/>
                <w:sz w:val="24"/>
              </w:rPr>
            </w:pPr>
            <w:r>
              <w:rPr>
                <w:rFonts w:hint="eastAsia" w:ascii="仿宋_GB2312" w:hAnsi="仿宋" w:eastAsia="仿宋_GB2312"/>
                <w:sz w:val="24"/>
              </w:rPr>
              <w:t>智能家居</w:t>
            </w:r>
          </w:p>
        </w:tc>
        <w:tc>
          <w:tcPr>
            <w:tcW w:w="2268" w:type="dxa"/>
            <w:vAlign w:val="center"/>
          </w:tcPr>
          <w:p>
            <w:pPr>
              <w:spacing w:line="260" w:lineRule="exact"/>
              <w:jc w:val="left"/>
              <w:rPr>
                <w:rFonts w:ascii="仿宋_GB2312" w:hAnsi="仿宋" w:eastAsia="仿宋_GB2312"/>
                <w:sz w:val="24"/>
              </w:rPr>
            </w:pPr>
            <w:bookmarkStart w:id="7" w:name="OLE_LINK31"/>
            <w:r>
              <w:rPr>
                <w:rFonts w:hint="eastAsia" w:ascii="仿宋_GB2312" w:hAnsi="仿宋" w:eastAsia="仿宋_GB2312"/>
                <w:sz w:val="24"/>
              </w:rPr>
              <w:t>智能家居产品</w:t>
            </w:r>
            <w:bookmarkEnd w:id="7"/>
            <w:r>
              <w:rPr>
                <w:rFonts w:hint="eastAsia" w:ascii="仿宋_GB2312" w:hAnsi="仿宋" w:eastAsia="仿宋_GB2312"/>
                <w:sz w:val="24"/>
              </w:rPr>
              <w:t>及其服务</w:t>
            </w:r>
          </w:p>
        </w:tc>
        <w:tc>
          <w:tcPr>
            <w:tcW w:w="5582" w:type="dxa"/>
            <w:vAlign w:val="center"/>
          </w:tcPr>
          <w:p>
            <w:pPr>
              <w:spacing w:line="280" w:lineRule="exact"/>
              <w:rPr>
                <w:rFonts w:ascii="仿宋_GB2312" w:hAnsi="仿宋" w:eastAsia="仿宋_GB2312"/>
                <w:sz w:val="24"/>
              </w:rPr>
            </w:pPr>
            <w:r>
              <w:rPr>
                <w:rFonts w:hint="eastAsia" w:ascii="仿宋_GB2312" w:hAnsi="仿宋" w:eastAsia="仿宋_GB2312"/>
                <w:sz w:val="24"/>
              </w:rPr>
              <w:t>面向住宅及公共建筑应用的具备人机对话、行为交互、设备互联和协同控制等功能的家居产品，如电动窗帘、家庭影院、智能照明控制、视频会议、智能背景音乐、智能监控安防系统</w:t>
            </w:r>
            <w:bookmarkStart w:id="8" w:name="OLE_LINK34"/>
            <w:r>
              <w:rPr>
                <w:rFonts w:hint="eastAsia" w:ascii="仿宋_GB2312" w:hAnsi="仿宋" w:eastAsia="仿宋_GB2312"/>
                <w:sz w:val="24"/>
              </w:rPr>
              <w:t>，以及产品的</w:t>
            </w:r>
            <w:bookmarkEnd w:id="8"/>
            <w:r>
              <w:rPr>
                <w:rFonts w:hint="eastAsia" w:ascii="仿宋_GB2312" w:hAnsi="仿宋" w:eastAsia="仿宋_GB2312"/>
                <w:sz w:val="24"/>
              </w:rPr>
              <w:t>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Merge w:val="continue"/>
            <w:vAlign w:val="center"/>
          </w:tcPr>
          <w:p>
            <w:pPr>
              <w:spacing w:line="260" w:lineRule="exact"/>
              <w:jc w:val="left"/>
              <w:rPr>
                <w:rFonts w:ascii="仿宋_GB2312" w:hAnsi="仿宋" w:eastAsia="仿宋_GB2312"/>
                <w:sz w:val="24"/>
              </w:rPr>
            </w:pPr>
          </w:p>
        </w:tc>
        <w:tc>
          <w:tcPr>
            <w:tcW w:w="2268" w:type="dxa"/>
            <w:vAlign w:val="center"/>
          </w:tcPr>
          <w:p>
            <w:pPr>
              <w:spacing w:line="260" w:lineRule="exact"/>
              <w:jc w:val="left"/>
              <w:rPr>
                <w:rFonts w:ascii="仿宋_GB2312" w:hAnsi="仿宋" w:eastAsia="仿宋_GB2312"/>
                <w:sz w:val="24"/>
              </w:rPr>
            </w:pPr>
            <w:r>
              <w:rPr>
                <w:rFonts w:hint="eastAsia" w:ascii="仿宋_GB2312" w:hAnsi="仿宋" w:eastAsia="仿宋_GB2312"/>
                <w:sz w:val="24"/>
              </w:rPr>
              <w:t>智能家居解决方案控制、软件及智能控制集成系统和产品</w:t>
            </w:r>
          </w:p>
        </w:tc>
        <w:tc>
          <w:tcPr>
            <w:tcW w:w="5582" w:type="dxa"/>
            <w:vAlign w:val="center"/>
          </w:tcPr>
          <w:p>
            <w:pPr>
              <w:spacing w:line="280" w:lineRule="exact"/>
              <w:rPr>
                <w:rFonts w:ascii="仿宋_GB2312" w:hAnsi="仿宋" w:eastAsia="仿宋_GB2312"/>
                <w:sz w:val="24"/>
              </w:rPr>
            </w:pPr>
            <w:r>
              <w:rPr>
                <w:rFonts w:hint="eastAsia" w:ascii="仿宋_GB2312" w:hAnsi="仿宋" w:eastAsia="仿宋_GB2312"/>
                <w:sz w:val="24"/>
              </w:rPr>
              <w:t>面向住宅及公共建筑应用的具备人机对话、行为交互、设备互联和协同控制等功能的语音识别、人脸识别等控制产品、软件和系统平台，以及产品的相关服务。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Merge w:val="continue"/>
            <w:vAlign w:val="center"/>
          </w:tcPr>
          <w:p>
            <w:pPr>
              <w:spacing w:line="260" w:lineRule="exact"/>
              <w:jc w:val="left"/>
              <w:rPr>
                <w:rFonts w:ascii="仿宋_GB2312" w:hAnsi="仿宋" w:eastAsia="仿宋_GB2312"/>
                <w:sz w:val="24"/>
              </w:rPr>
            </w:pPr>
          </w:p>
        </w:tc>
        <w:tc>
          <w:tcPr>
            <w:tcW w:w="2268" w:type="dxa"/>
            <w:vAlign w:val="center"/>
          </w:tcPr>
          <w:p>
            <w:pPr>
              <w:spacing w:line="260" w:lineRule="exact"/>
              <w:jc w:val="left"/>
              <w:rPr>
                <w:rFonts w:ascii="仿宋_GB2312" w:hAnsi="仿宋" w:eastAsia="仿宋_GB2312"/>
                <w:sz w:val="24"/>
              </w:rPr>
            </w:pPr>
            <w:r>
              <w:rPr>
                <w:rFonts w:hint="eastAsia" w:ascii="仿宋_GB2312" w:hAnsi="仿宋" w:eastAsia="仿宋_GB2312"/>
                <w:sz w:val="24"/>
              </w:rPr>
              <w:t>智能建筑制造及安装</w:t>
            </w:r>
          </w:p>
        </w:tc>
        <w:tc>
          <w:tcPr>
            <w:tcW w:w="5582" w:type="dxa"/>
            <w:vAlign w:val="center"/>
          </w:tcPr>
          <w:p>
            <w:pPr>
              <w:spacing w:line="280" w:lineRule="exact"/>
              <w:rPr>
                <w:rFonts w:ascii="仿宋_GB2312" w:hAnsi="仿宋" w:eastAsia="仿宋_GB2312"/>
                <w:sz w:val="24"/>
              </w:rPr>
            </w:pPr>
            <w:r>
              <w:rPr>
                <w:rFonts w:hint="eastAsia" w:ascii="仿宋_GB2312" w:hAnsi="仿宋" w:eastAsia="仿宋_GB2312"/>
                <w:sz w:val="24"/>
              </w:rPr>
              <w:t>具备人机对话、行为交互、设备互联和协同控制等功能的住宅和公共建筑制造，及其智能化安装、救援逃生设备安装和其他未列明的安装活动。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Merge w:val="restart"/>
            <w:vAlign w:val="center"/>
          </w:tcPr>
          <w:p>
            <w:pPr>
              <w:spacing w:line="260" w:lineRule="exact"/>
              <w:jc w:val="left"/>
              <w:rPr>
                <w:rFonts w:ascii="仿宋_GB2312" w:hAnsi="仿宋" w:eastAsia="仿宋_GB2312"/>
                <w:sz w:val="24"/>
              </w:rPr>
            </w:pPr>
            <w:r>
              <w:rPr>
                <w:rFonts w:hint="eastAsia" w:ascii="仿宋_GB2312" w:hAnsi="仿宋" w:eastAsia="仿宋_GB2312"/>
                <w:sz w:val="24"/>
              </w:rPr>
              <w:t>智能软硬件及产品</w:t>
            </w:r>
          </w:p>
        </w:tc>
        <w:tc>
          <w:tcPr>
            <w:tcW w:w="2268" w:type="dxa"/>
            <w:vAlign w:val="center"/>
          </w:tcPr>
          <w:p>
            <w:pPr>
              <w:spacing w:line="260" w:lineRule="exact"/>
              <w:jc w:val="left"/>
              <w:rPr>
                <w:rFonts w:ascii="仿宋_GB2312" w:hAnsi="仿宋" w:eastAsia="仿宋_GB2312"/>
                <w:sz w:val="24"/>
              </w:rPr>
            </w:pPr>
            <w:r>
              <w:rPr>
                <w:rFonts w:hint="eastAsia" w:ascii="仿宋_GB2312" w:hAnsi="仿宋" w:eastAsia="仿宋_GB2312"/>
                <w:sz w:val="24"/>
              </w:rPr>
              <w:t>智能软件</w:t>
            </w:r>
          </w:p>
        </w:tc>
        <w:tc>
          <w:tcPr>
            <w:tcW w:w="5582" w:type="dxa"/>
            <w:vAlign w:val="center"/>
          </w:tcPr>
          <w:p>
            <w:pPr>
              <w:spacing w:line="280" w:lineRule="exact"/>
              <w:rPr>
                <w:rFonts w:ascii="仿宋_GB2312" w:hAnsi="仿宋" w:eastAsia="仿宋_GB2312"/>
                <w:sz w:val="24"/>
              </w:rPr>
            </w:pPr>
            <w:r>
              <w:rPr>
                <w:rFonts w:hint="eastAsia" w:ascii="仿宋_GB2312" w:hAnsi="仿宋" w:eastAsia="仿宋_GB2312"/>
                <w:sz w:val="24"/>
              </w:rPr>
              <w:t>具备获取和应用知识的能力、思维与推理的能力、问题求解的能力和学习能力的计算机软件，包括其开发、应用和运维服务等软件、系统、平台等。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Merge w:val="continue"/>
            <w:vAlign w:val="center"/>
          </w:tcPr>
          <w:p>
            <w:pPr>
              <w:spacing w:line="260" w:lineRule="exact"/>
              <w:jc w:val="left"/>
              <w:rPr>
                <w:rFonts w:ascii="仿宋_GB2312" w:hAnsi="仿宋" w:eastAsia="仿宋_GB2312"/>
                <w:sz w:val="24"/>
              </w:rPr>
            </w:pPr>
          </w:p>
        </w:tc>
        <w:tc>
          <w:tcPr>
            <w:tcW w:w="2268" w:type="dxa"/>
            <w:vAlign w:val="center"/>
          </w:tcPr>
          <w:p>
            <w:pPr>
              <w:spacing w:line="260" w:lineRule="exact"/>
              <w:jc w:val="left"/>
              <w:rPr>
                <w:rFonts w:ascii="仿宋_GB2312" w:hAnsi="仿宋" w:eastAsia="仿宋_GB2312"/>
                <w:sz w:val="24"/>
              </w:rPr>
            </w:pPr>
            <w:r>
              <w:rPr>
                <w:rFonts w:hint="eastAsia" w:ascii="仿宋_GB2312" w:hAnsi="仿宋" w:eastAsia="仿宋_GB2312"/>
                <w:sz w:val="24"/>
              </w:rPr>
              <w:t>可穿戴智能设备</w:t>
            </w:r>
          </w:p>
        </w:tc>
        <w:tc>
          <w:tcPr>
            <w:tcW w:w="5582" w:type="dxa"/>
            <w:vAlign w:val="center"/>
          </w:tcPr>
          <w:p>
            <w:pPr>
              <w:spacing w:line="280" w:lineRule="exact"/>
              <w:rPr>
                <w:rFonts w:ascii="仿宋_GB2312" w:hAnsi="仿宋" w:eastAsia="仿宋_GB2312"/>
                <w:sz w:val="24"/>
              </w:rPr>
            </w:pPr>
            <w:r>
              <w:rPr>
                <w:rFonts w:hint="eastAsia" w:ascii="仿宋_GB2312" w:hAnsi="仿宋" w:eastAsia="仿宋_GB2312"/>
                <w:sz w:val="24"/>
              </w:rPr>
              <w:t>由用户穿戴和控制，并且自然、持续地运行和交互的个人移动计算设备产品的制造，包括可穿戴运动、医疗、健康监测设备制造。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Merge w:val="continue"/>
            <w:vAlign w:val="center"/>
          </w:tcPr>
          <w:p>
            <w:pPr>
              <w:spacing w:line="260" w:lineRule="exact"/>
              <w:jc w:val="left"/>
              <w:rPr>
                <w:rFonts w:ascii="仿宋_GB2312" w:hAnsi="仿宋" w:eastAsia="仿宋_GB2312"/>
                <w:sz w:val="24"/>
              </w:rPr>
            </w:pPr>
          </w:p>
        </w:tc>
        <w:tc>
          <w:tcPr>
            <w:tcW w:w="2268" w:type="dxa"/>
          </w:tcPr>
          <w:p>
            <w:pPr>
              <w:spacing w:line="320" w:lineRule="exact"/>
              <w:jc w:val="left"/>
              <w:rPr>
                <w:rFonts w:ascii="仿宋_GB2312" w:hAnsi="仿宋" w:eastAsia="仿宋_GB2312"/>
                <w:sz w:val="24"/>
              </w:rPr>
            </w:pPr>
            <w:r>
              <w:rPr>
                <w:rFonts w:hint="eastAsia" w:ascii="仿宋_GB2312" w:hAnsi="仿宋" w:eastAsia="仿宋_GB2312"/>
                <w:sz w:val="24"/>
              </w:rPr>
              <w:t>智能无人飞行器制造</w:t>
            </w:r>
          </w:p>
        </w:tc>
        <w:tc>
          <w:tcPr>
            <w:tcW w:w="5582" w:type="dxa"/>
          </w:tcPr>
          <w:p>
            <w:pPr>
              <w:spacing w:line="320" w:lineRule="exact"/>
              <w:rPr>
                <w:rFonts w:ascii="仿宋_GB2312" w:hAnsi="仿宋" w:eastAsia="仿宋_GB2312"/>
                <w:sz w:val="24"/>
              </w:rPr>
            </w:pPr>
            <w:r>
              <w:rPr>
                <w:rFonts w:hint="eastAsia" w:ascii="仿宋_GB2312" w:hAnsi="仿宋" w:eastAsia="仿宋_GB2312"/>
                <w:sz w:val="24"/>
              </w:rPr>
              <w:t>指按照国家有关安全规定标准，经允许生产并主要用于娱乐、科普等的智能无人飞行器的制造。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Merge w:val="continue"/>
            <w:vAlign w:val="center"/>
          </w:tcPr>
          <w:p>
            <w:pPr>
              <w:spacing w:line="260" w:lineRule="exact"/>
              <w:jc w:val="left"/>
              <w:rPr>
                <w:rFonts w:ascii="仿宋_GB2312" w:hAnsi="仿宋" w:eastAsia="仿宋_GB2312"/>
                <w:sz w:val="24"/>
              </w:rPr>
            </w:pPr>
          </w:p>
        </w:tc>
        <w:tc>
          <w:tcPr>
            <w:tcW w:w="2268" w:type="dxa"/>
          </w:tcPr>
          <w:p>
            <w:pPr>
              <w:spacing w:line="320" w:lineRule="exact"/>
              <w:jc w:val="left"/>
              <w:rPr>
                <w:rFonts w:ascii="仿宋_GB2312" w:hAnsi="仿宋" w:eastAsia="仿宋_GB2312"/>
                <w:sz w:val="24"/>
              </w:rPr>
            </w:pPr>
            <w:r>
              <w:rPr>
                <w:rFonts w:hint="eastAsia" w:ascii="仿宋_GB2312" w:hAnsi="仿宋" w:eastAsia="仿宋_GB2312"/>
                <w:sz w:val="24"/>
              </w:rPr>
              <w:t>敏感元件及传感器制造</w:t>
            </w:r>
          </w:p>
        </w:tc>
        <w:tc>
          <w:tcPr>
            <w:tcW w:w="5582" w:type="dxa"/>
          </w:tcPr>
          <w:p>
            <w:pPr>
              <w:spacing w:line="320" w:lineRule="exact"/>
              <w:rPr>
                <w:rFonts w:ascii="仿宋_GB2312" w:hAnsi="仿宋" w:eastAsia="仿宋_GB2312"/>
                <w:sz w:val="24"/>
              </w:rPr>
            </w:pPr>
            <w:r>
              <w:rPr>
                <w:rFonts w:hint="eastAsia" w:ascii="仿宋_GB2312" w:hAnsi="仿宋" w:eastAsia="仿宋_GB2312"/>
                <w:sz w:val="24"/>
              </w:rPr>
              <w:t>指按一定规律，将感受到的信息转换成为电信号或其他所需形式的信息输出的敏感元件及传感器的制造。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Merge w:val="continue"/>
            <w:vAlign w:val="center"/>
          </w:tcPr>
          <w:p>
            <w:pPr>
              <w:spacing w:line="260" w:lineRule="exact"/>
              <w:jc w:val="left"/>
              <w:rPr>
                <w:rFonts w:ascii="仿宋_GB2312" w:hAnsi="仿宋" w:eastAsia="仿宋_GB2312"/>
                <w:sz w:val="24"/>
              </w:rPr>
            </w:pPr>
          </w:p>
        </w:tc>
        <w:tc>
          <w:tcPr>
            <w:tcW w:w="2268" w:type="dxa"/>
            <w:vAlign w:val="center"/>
          </w:tcPr>
          <w:p>
            <w:pPr>
              <w:spacing w:line="260" w:lineRule="exact"/>
              <w:jc w:val="left"/>
              <w:rPr>
                <w:rFonts w:ascii="仿宋_GB2312" w:hAnsi="仿宋" w:eastAsia="仿宋_GB2312"/>
                <w:sz w:val="24"/>
              </w:rPr>
            </w:pPr>
            <w:r>
              <w:rPr>
                <w:rFonts w:hint="eastAsia" w:ascii="仿宋_GB2312" w:hAnsi="仿宋" w:eastAsia="仿宋_GB2312"/>
                <w:sz w:val="24"/>
              </w:rPr>
              <w:t>其他智能硬件及产品</w:t>
            </w:r>
          </w:p>
        </w:tc>
        <w:tc>
          <w:tcPr>
            <w:tcW w:w="5582" w:type="dxa"/>
            <w:vAlign w:val="center"/>
          </w:tcPr>
          <w:p>
            <w:pPr>
              <w:spacing w:line="280" w:lineRule="exact"/>
              <w:rPr>
                <w:rFonts w:ascii="仿宋_GB2312" w:hAnsi="仿宋" w:eastAsia="仿宋_GB2312"/>
                <w:sz w:val="24"/>
              </w:rPr>
            </w:pPr>
            <w:r>
              <w:rPr>
                <w:rFonts w:hint="eastAsia" w:ascii="仿宋_GB2312" w:hAnsi="仿宋" w:eastAsia="仿宋_GB2312"/>
                <w:sz w:val="24"/>
              </w:rPr>
              <w:t>以平台性底层软硬件为基础，以智能传感互联、人机交互、新型显示及大数据处理等新一代信息技术为特征，以新设计、新材料、新工艺硬件为载体未列明的新型智能终端产品及服务。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Align w:val="center"/>
          </w:tcPr>
          <w:p>
            <w:pPr>
              <w:spacing w:line="260" w:lineRule="exact"/>
              <w:jc w:val="left"/>
              <w:rPr>
                <w:rFonts w:ascii="仿宋_GB2312" w:hAnsi="仿宋" w:eastAsia="仿宋_GB2312"/>
                <w:sz w:val="24"/>
              </w:rPr>
            </w:pPr>
            <w:r>
              <w:rPr>
                <w:rFonts w:hint="eastAsia" w:ascii="仿宋_GB2312" w:hAnsi="仿宋" w:eastAsia="仿宋_GB2312"/>
                <w:sz w:val="24"/>
              </w:rPr>
              <w:t>其他</w:t>
            </w:r>
          </w:p>
        </w:tc>
        <w:tc>
          <w:tcPr>
            <w:tcW w:w="2268" w:type="dxa"/>
            <w:vAlign w:val="center"/>
          </w:tcPr>
          <w:p>
            <w:pPr>
              <w:spacing w:line="260" w:lineRule="exact"/>
              <w:jc w:val="left"/>
              <w:rPr>
                <w:rFonts w:ascii="仿宋_GB2312" w:hAnsi="仿宋" w:eastAsia="仿宋_GB2312"/>
                <w:sz w:val="24"/>
              </w:rPr>
            </w:pPr>
            <w:r>
              <w:rPr>
                <w:rFonts w:hint="eastAsia" w:ascii="仿宋_GB2312" w:hAnsi="仿宋" w:eastAsia="仿宋_GB2312"/>
                <w:sz w:val="24"/>
              </w:rPr>
              <w:t>其他人工智能产品（服务）</w:t>
            </w:r>
          </w:p>
        </w:tc>
        <w:tc>
          <w:tcPr>
            <w:tcW w:w="5582" w:type="dxa"/>
            <w:vAlign w:val="center"/>
          </w:tcPr>
          <w:p>
            <w:pPr>
              <w:spacing w:line="280" w:lineRule="exact"/>
              <w:rPr>
                <w:rFonts w:ascii="仿宋_GB2312" w:hAnsi="仿宋" w:eastAsia="仿宋_GB2312"/>
                <w:sz w:val="24"/>
              </w:rPr>
            </w:pPr>
            <w:r>
              <w:rPr>
                <w:rFonts w:hint="eastAsia" w:ascii="仿宋_GB2312" w:hAnsi="仿宋" w:eastAsia="仿宋_GB2312"/>
                <w:sz w:val="24"/>
              </w:rPr>
              <w:t>不属于智能安防、智能汽车、智能机器人、智能家居、智能软硬件及产品5个产业的其他产业的人工智能产品及服务。</w:t>
            </w:r>
          </w:p>
        </w:tc>
      </w:tr>
    </w:tbl>
    <w:p>
      <w:pPr>
        <w:tabs>
          <w:tab w:val="left" w:pos="994"/>
        </w:tabs>
        <w:spacing w:line="600" w:lineRule="exact"/>
        <w:rPr>
          <w:rFonts w:ascii="黑体" w:hAnsi="黑体" w:eastAsia="黑体"/>
          <w:sz w:val="32"/>
          <w:szCs w:val="32"/>
        </w:rPr>
      </w:pPr>
    </w:p>
    <w:p>
      <w:pPr>
        <w:widowControl/>
        <w:jc w:val="left"/>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w:t>
      </w:r>
      <w:r>
        <w:rPr>
          <w:rFonts w:ascii="黑体" w:hAnsi="黑体" w:eastAsia="黑体"/>
          <w:sz w:val="32"/>
          <w:szCs w:val="32"/>
        </w:rPr>
        <w:t>2</w:t>
      </w:r>
    </w:p>
    <w:p/>
    <w:p>
      <w:pPr>
        <w:widowControl/>
        <w:spacing w:line="560" w:lineRule="exact"/>
        <w:jc w:val="center"/>
        <w:rPr>
          <w:rFonts w:ascii="方正小标宋简体" w:eastAsia="方正小标宋简体" w:cs="宋体" w:hAnsiTheme="minorEastAsia"/>
          <w:bCs/>
          <w:kern w:val="0"/>
          <w:sz w:val="44"/>
          <w:szCs w:val="44"/>
        </w:rPr>
      </w:pPr>
      <w:bookmarkStart w:id="9" w:name="_Hlk34750804"/>
      <w:r>
        <w:rPr>
          <w:rFonts w:hint="eastAsia" w:ascii="方正小标宋简体" w:eastAsia="方正小标宋简体" w:cs="宋体" w:hAnsiTheme="minorEastAsia"/>
          <w:bCs/>
          <w:kern w:val="0"/>
          <w:sz w:val="44"/>
          <w:szCs w:val="44"/>
        </w:rPr>
        <w:t>杭州市人工智能企业备案清单</w:t>
      </w:r>
    </w:p>
    <w:bookmarkEnd w:id="9"/>
    <w:p/>
    <w:p>
      <w:pPr>
        <w:spacing w:line="600" w:lineRule="exact"/>
        <w:jc w:val="left"/>
        <w:rPr>
          <w:rFonts w:ascii="仿宋" w:hAnsi="仿宋" w:eastAsia="仿宋"/>
          <w:sz w:val="32"/>
          <w:szCs w:val="32"/>
          <w:u w:val="single"/>
        </w:rPr>
      </w:pPr>
      <w:r>
        <w:rPr>
          <w:rFonts w:hint="eastAsia" w:ascii="仿宋" w:hAnsi="仿宋" w:eastAsia="仿宋"/>
          <w:b/>
          <w:bCs/>
          <w:sz w:val="32"/>
          <w:szCs w:val="32"/>
          <w:u w:val="single"/>
        </w:rPr>
        <w:t xml:space="preserve">        </w:t>
      </w:r>
      <w:r>
        <w:rPr>
          <w:rFonts w:hint="eastAsia" w:ascii="仿宋" w:hAnsi="仿宋" w:eastAsia="仿宋"/>
          <w:b/>
          <w:bCs/>
          <w:sz w:val="32"/>
          <w:szCs w:val="32"/>
        </w:rPr>
        <w:t xml:space="preserve">科技局  </w:t>
      </w:r>
      <w:r>
        <w:rPr>
          <w:rFonts w:ascii="仿宋" w:hAnsi="仿宋" w:eastAsia="仿宋"/>
          <w:b/>
          <w:bCs/>
          <w:sz w:val="32"/>
          <w:szCs w:val="32"/>
        </w:rPr>
        <w:t xml:space="preserve"> </w:t>
      </w:r>
      <w:r>
        <w:rPr>
          <w:rFonts w:hint="eastAsia" w:ascii="仿宋" w:hAnsi="仿宋" w:eastAsia="仿宋"/>
          <w:b/>
          <w:bCs/>
          <w:sz w:val="32"/>
          <w:szCs w:val="32"/>
        </w:rPr>
        <w:t>填报人：</w:t>
      </w:r>
      <w:r>
        <w:rPr>
          <w:rFonts w:hint="eastAsia" w:ascii="仿宋" w:hAnsi="仿宋" w:eastAsia="仿宋"/>
          <w:b/>
          <w:bCs/>
          <w:sz w:val="32"/>
          <w:szCs w:val="32"/>
          <w:u w:val="single"/>
        </w:rPr>
        <w:t xml:space="preserve"> </w:t>
      </w:r>
      <w:r>
        <w:rPr>
          <w:rFonts w:ascii="仿宋" w:hAnsi="仿宋" w:eastAsia="仿宋"/>
          <w:b/>
          <w:bCs/>
          <w:sz w:val="32"/>
          <w:szCs w:val="32"/>
          <w:u w:val="single"/>
        </w:rPr>
        <w:t xml:space="preserve">       </w:t>
      </w:r>
      <w:r>
        <w:rPr>
          <w:rFonts w:ascii="仿宋" w:hAnsi="仿宋" w:eastAsia="仿宋"/>
          <w:b/>
          <w:bCs/>
          <w:sz w:val="32"/>
          <w:szCs w:val="32"/>
        </w:rPr>
        <w:t xml:space="preserve">   </w:t>
      </w:r>
      <w:r>
        <w:rPr>
          <w:rFonts w:hint="eastAsia" w:ascii="仿宋" w:hAnsi="仿宋" w:eastAsia="仿宋"/>
          <w:b/>
          <w:bCs/>
          <w:sz w:val="32"/>
          <w:szCs w:val="32"/>
        </w:rPr>
        <w:t>联系电话：</w:t>
      </w:r>
      <w:r>
        <w:rPr>
          <w:rFonts w:hint="eastAsia" w:ascii="仿宋" w:hAnsi="仿宋" w:eastAsia="仿宋"/>
          <w:b/>
          <w:bCs/>
          <w:sz w:val="32"/>
          <w:szCs w:val="32"/>
          <w:u w:val="single"/>
        </w:rPr>
        <w:t xml:space="preserve"> </w:t>
      </w:r>
      <w:r>
        <w:rPr>
          <w:rFonts w:ascii="仿宋" w:hAnsi="仿宋" w:eastAsia="仿宋"/>
          <w:b/>
          <w:bCs/>
          <w:sz w:val="32"/>
          <w:szCs w:val="32"/>
          <w:u w:val="single"/>
        </w:rPr>
        <w:t xml:space="preserve">     </w:t>
      </w:r>
    </w:p>
    <w:tbl>
      <w:tblPr>
        <w:tblStyle w:val="6"/>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731"/>
        <w:gridCol w:w="731"/>
        <w:gridCol w:w="1151"/>
        <w:gridCol w:w="1645"/>
        <w:gridCol w:w="629"/>
        <w:gridCol w:w="731"/>
        <w:gridCol w:w="1083"/>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8" w:type="dxa"/>
            <w:vMerge w:val="restart"/>
            <w:vAlign w:val="center"/>
          </w:tcPr>
          <w:p>
            <w:r>
              <w:rPr>
                <w:rFonts w:hint="eastAsia"/>
              </w:rPr>
              <w:t>序号</w:t>
            </w:r>
          </w:p>
        </w:tc>
        <w:tc>
          <w:tcPr>
            <w:tcW w:w="731" w:type="dxa"/>
            <w:vMerge w:val="restart"/>
            <w:vAlign w:val="center"/>
          </w:tcPr>
          <w:p>
            <w:r>
              <w:rPr>
                <w:rFonts w:hint="eastAsia"/>
              </w:rPr>
              <w:t>企业名称</w:t>
            </w:r>
          </w:p>
        </w:tc>
        <w:tc>
          <w:tcPr>
            <w:tcW w:w="731" w:type="dxa"/>
            <w:vMerge w:val="restart"/>
            <w:vAlign w:val="center"/>
          </w:tcPr>
          <w:p>
            <w:r>
              <w:rPr>
                <w:rFonts w:hint="eastAsia"/>
              </w:rPr>
              <w:t>通讯地址</w:t>
            </w:r>
          </w:p>
        </w:tc>
        <w:tc>
          <w:tcPr>
            <w:tcW w:w="1151" w:type="dxa"/>
            <w:vMerge w:val="restart"/>
            <w:vAlign w:val="center"/>
          </w:tcPr>
          <w:p>
            <w:r>
              <w:rPr>
                <w:rFonts w:hint="eastAsia"/>
              </w:rPr>
              <w:t>区、县（市）</w:t>
            </w:r>
          </w:p>
        </w:tc>
        <w:tc>
          <w:tcPr>
            <w:tcW w:w="1645" w:type="dxa"/>
            <w:vMerge w:val="restart"/>
            <w:vAlign w:val="center"/>
          </w:tcPr>
          <w:p>
            <w:r>
              <w:rPr>
                <w:rFonts w:hint="eastAsia"/>
              </w:rPr>
              <w:t>统一社会信用代码</w:t>
            </w:r>
          </w:p>
        </w:tc>
        <w:tc>
          <w:tcPr>
            <w:tcW w:w="629" w:type="dxa"/>
            <w:vMerge w:val="restart"/>
            <w:vAlign w:val="center"/>
          </w:tcPr>
          <w:p>
            <w:r>
              <w:rPr>
                <w:rFonts w:hint="eastAsia"/>
              </w:rPr>
              <w:t>填表人</w:t>
            </w:r>
          </w:p>
        </w:tc>
        <w:tc>
          <w:tcPr>
            <w:tcW w:w="731" w:type="dxa"/>
            <w:vMerge w:val="restart"/>
            <w:vAlign w:val="center"/>
          </w:tcPr>
          <w:p>
            <w:r>
              <w:rPr>
                <w:rFonts w:hint="eastAsia"/>
              </w:rPr>
              <w:t>联系电话</w:t>
            </w:r>
          </w:p>
        </w:tc>
        <w:tc>
          <w:tcPr>
            <w:tcW w:w="2883" w:type="dxa"/>
            <w:gridSpan w:val="2"/>
            <w:vAlign w:val="center"/>
          </w:tcPr>
          <w:p>
            <w:r>
              <w:rPr>
                <w:rFonts w:hint="eastAsia"/>
              </w:rPr>
              <w:t>是否高新技术企业或科技型中小企业（如否可不填）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8" w:type="dxa"/>
            <w:vMerge w:val="continue"/>
            <w:vAlign w:val="center"/>
          </w:tcPr>
          <w:p/>
        </w:tc>
        <w:tc>
          <w:tcPr>
            <w:tcW w:w="731" w:type="dxa"/>
            <w:vMerge w:val="continue"/>
            <w:vAlign w:val="center"/>
          </w:tcPr>
          <w:p/>
        </w:tc>
        <w:tc>
          <w:tcPr>
            <w:tcW w:w="731" w:type="dxa"/>
            <w:vMerge w:val="continue"/>
            <w:vAlign w:val="center"/>
          </w:tcPr>
          <w:p/>
        </w:tc>
        <w:tc>
          <w:tcPr>
            <w:tcW w:w="1151" w:type="dxa"/>
            <w:vMerge w:val="continue"/>
            <w:vAlign w:val="center"/>
          </w:tcPr>
          <w:p/>
        </w:tc>
        <w:tc>
          <w:tcPr>
            <w:tcW w:w="1645" w:type="dxa"/>
            <w:vMerge w:val="continue"/>
            <w:vAlign w:val="center"/>
          </w:tcPr>
          <w:p/>
        </w:tc>
        <w:tc>
          <w:tcPr>
            <w:tcW w:w="629" w:type="dxa"/>
            <w:vMerge w:val="continue"/>
            <w:vAlign w:val="center"/>
          </w:tcPr>
          <w:p/>
        </w:tc>
        <w:tc>
          <w:tcPr>
            <w:tcW w:w="731" w:type="dxa"/>
            <w:vMerge w:val="continue"/>
            <w:vAlign w:val="center"/>
          </w:tcPr>
          <w:p/>
        </w:tc>
        <w:tc>
          <w:tcPr>
            <w:tcW w:w="1083" w:type="dxa"/>
            <w:vAlign w:val="center"/>
          </w:tcPr>
          <w:p>
            <w:r>
              <w:rPr>
                <w:rFonts w:hint="eastAsia"/>
              </w:rPr>
              <w:t>高企证书号</w:t>
            </w:r>
          </w:p>
        </w:tc>
        <w:tc>
          <w:tcPr>
            <w:tcW w:w="1800" w:type="dxa"/>
            <w:vAlign w:val="center"/>
          </w:tcPr>
          <w:p>
            <w:r>
              <w:rPr>
                <w:rFonts w:hint="eastAsia"/>
              </w:rPr>
              <w:t>科技型中小企业证书号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11"/>
              <w:numPr>
                <w:ilvl w:val="0"/>
                <w:numId w:val="2"/>
              </w:numPr>
              <w:ind w:firstLineChars="0"/>
              <w:rPr>
                <w:rFonts w:ascii="仿宋" w:eastAsia="仿宋"/>
                <w:sz w:val="32"/>
                <w:szCs w:val="32"/>
              </w:rPr>
            </w:pPr>
          </w:p>
        </w:tc>
        <w:tc>
          <w:tcPr>
            <w:tcW w:w="731" w:type="dxa"/>
            <w:vAlign w:val="center"/>
          </w:tcPr>
          <w:p>
            <w:pPr>
              <w:rPr>
                <w:rFonts w:ascii="仿宋" w:eastAsia="仿宋"/>
                <w:sz w:val="32"/>
                <w:szCs w:val="32"/>
              </w:rPr>
            </w:pPr>
          </w:p>
        </w:tc>
        <w:tc>
          <w:tcPr>
            <w:tcW w:w="731" w:type="dxa"/>
            <w:vAlign w:val="center"/>
          </w:tcPr>
          <w:p>
            <w:pPr>
              <w:rPr>
                <w:rFonts w:ascii="仿宋" w:eastAsia="仿宋"/>
                <w:sz w:val="32"/>
                <w:szCs w:val="32"/>
              </w:rPr>
            </w:pPr>
          </w:p>
        </w:tc>
        <w:tc>
          <w:tcPr>
            <w:tcW w:w="1151" w:type="dxa"/>
            <w:vAlign w:val="center"/>
          </w:tcPr>
          <w:p>
            <w:pPr>
              <w:rPr>
                <w:rFonts w:ascii="仿宋" w:eastAsia="仿宋"/>
                <w:sz w:val="32"/>
                <w:szCs w:val="32"/>
              </w:rPr>
            </w:pPr>
          </w:p>
        </w:tc>
        <w:tc>
          <w:tcPr>
            <w:tcW w:w="1645" w:type="dxa"/>
            <w:vAlign w:val="center"/>
          </w:tcPr>
          <w:p>
            <w:pPr>
              <w:rPr>
                <w:rFonts w:ascii="仿宋" w:eastAsia="仿宋"/>
                <w:sz w:val="32"/>
                <w:szCs w:val="32"/>
              </w:rPr>
            </w:pPr>
          </w:p>
        </w:tc>
        <w:tc>
          <w:tcPr>
            <w:tcW w:w="629" w:type="dxa"/>
            <w:vAlign w:val="center"/>
          </w:tcPr>
          <w:p>
            <w:pPr>
              <w:rPr>
                <w:rFonts w:ascii="仿宋" w:eastAsia="仿宋"/>
                <w:sz w:val="32"/>
                <w:szCs w:val="32"/>
              </w:rPr>
            </w:pPr>
          </w:p>
        </w:tc>
        <w:tc>
          <w:tcPr>
            <w:tcW w:w="731" w:type="dxa"/>
            <w:vAlign w:val="center"/>
          </w:tcPr>
          <w:p>
            <w:pPr>
              <w:rPr>
                <w:rFonts w:ascii="仿宋" w:eastAsia="仿宋"/>
                <w:sz w:val="32"/>
                <w:szCs w:val="32"/>
              </w:rPr>
            </w:pPr>
          </w:p>
        </w:tc>
        <w:tc>
          <w:tcPr>
            <w:tcW w:w="1083" w:type="dxa"/>
            <w:vAlign w:val="center"/>
          </w:tcPr>
          <w:p>
            <w:pPr>
              <w:rPr>
                <w:rFonts w:ascii="仿宋" w:eastAsia="仿宋"/>
                <w:sz w:val="32"/>
                <w:szCs w:val="32"/>
              </w:rPr>
            </w:pPr>
          </w:p>
        </w:tc>
        <w:tc>
          <w:tcPr>
            <w:tcW w:w="1800" w:type="dxa"/>
            <w:vAlign w:val="center"/>
          </w:tcPr>
          <w:p>
            <w:pPr>
              <w:rPr>
                <w:rFonts w:asci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11"/>
              <w:numPr>
                <w:ilvl w:val="0"/>
                <w:numId w:val="2"/>
              </w:numPr>
              <w:ind w:firstLineChars="0"/>
              <w:rPr>
                <w:rFonts w:ascii="仿宋" w:eastAsia="仿宋"/>
                <w:sz w:val="32"/>
                <w:szCs w:val="32"/>
              </w:rPr>
            </w:pPr>
          </w:p>
        </w:tc>
        <w:tc>
          <w:tcPr>
            <w:tcW w:w="731" w:type="dxa"/>
            <w:vAlign w:val="center"/>
          </w:tcPr>
          <w:p>
            <w:pPr>
              <w:rPr>
                <w:rFonts w:ascii="仿宋" w:eastAsia="仿宋"/>
                <w:sz w:val="32"/>
                <w:szCs w:val="32"/>
              </w:rPr>
            </w:pPr>
          </w:p>
        </w:tc>
        <w:tc>
          <w:tcPr>
            <w:tcW w:w="731" w:type="dxa"/>
            <w:vAlign w:val="center"/>
          </w:tcPr>
          <w:p>
            <w:pPr>
              <w:rPr>
                <w:rFonts w:ascii="仿宋" w:eastAsia="仿宋"/>
                <w:sz w:val="32"/>
                <w:szCs w:val="32"/>
              </w:rPr>
            </w:pPr>
          </w:p>
        </w:tc>
        <w:tc>
          <w:tcPr>
            <w:tcW w:w="1151" w:type="dxa"/>
            <w:vAlign w:val="center"/>
          </w:tcPr>
          <w:p>
            <w:pPr>
              <w:rPr>
                <w:rFonts w:ascii="仿宋" w:eastAsia="仿宋"/>
                <w:sz w:val="32"/>
                <w:szCs w:val="32"/>
              </w:rPr>
            </w:pPr>
          </w:p>
        </w:tc>
        <w:tc>
          <w:tcPr>
            <w:tcW w:w="1645" w:type="dxa"/>
            <w:vAlign w:val="center"/>
          </w:tcPr>
          <w:p>
            <w:pPr>
              <w:rPr>
                <w:rFonts w:ascii="仿宋" w:eastAsia="仿宋"/>
                <w:sz w:val="32"/>
                <w:szCs w:val="32"/>
              </w:rPr>
            </w:pPr>
          </w:p>
        </w:tc>
        <w:tc>
          <w:tcPr>
            <w:tcW w:w="629" w:type="dxa"/>
            <w:vAlign w:val="center"/>
          </w:tcPr>
          <w:p>
            <w:pPr>
              <w:rPr>
                <w:rFonts w:ascii="仿宋" w:eastAsia="仿宋"/>
                <w:sz w:val="32"/>
                <w:szCs w:val="32"/>
              </w:rPr>
            </w:pPr>
          </w:p>
        </w:tc>
        <w:tc>
          <w:tcPr>
            <w:tcW w:w="731" w:type="dxa"/>
            <w:vAlign w:val="center"/>
          </w:tcPr>
          <w:p>
            <w:pPr>
              <w:rPr>
                <w:rFonts w:ascii="仿宋" w:eastAsia="仿宋"/>
                <w:sz w:val="32"/>
                <w:szCs w:val="32"/>
              </w:rPr>
            </w:pPr>
          </w:p>
        </w:tc>
        <w:tc>
          <w:tcPr>
            <w:tcW w:w="1083" w:type="dxa"/>
            <w:vAlign w:val="center"/>
          </w:tcPr>
          <w:p>
            <w:pPr>
              <w:rPr>
                <w:rFonts w:ascii="仿宋" w:eastAsia="仿宋"/>
                <w:sz w:val="32"/>
                <w:szCs w:val="32"/>
              </w:rPr>
            </w:pPr>
          </w:p>
        </w:tc>
        <w:tc>
          <w:tcPr>
            <w:tcW w:w="1800" w:type="dxa"/>
            <w:vAlign w:val="center"/>
          </w:tcPr>
          <w:p>
            <w:pPr>
              <w:rPr>
                <w:rFonts w:asci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11"/>
              <w:numPr>
                <w:ilvl w:val="0"/>
                <w:numId w:val="2"/>
              </w:numPr>
              <w:ind w:firstLineChars="0"/>
              <w:rPr>
                <w:rFonts w:ascii="仿宋" w:eastAsia="仿宋"/>
                <w:sz w:val="32"/>
                <w:szCs w:val="32"/>
              </w:rPr>
            </w:pPr>
          </w:p>
        </w:tc>
        <w:tc>
          <w:tcPr>
            <w:tcW w:w="731" w:type="dxa"/>
            <w:vAlign w:val="center"/>
          </w:tcPr>
          <w:p>
            <w:pPr>
              <w:rPr>
                <w:rFonts w:ascii="仿宋" w:eastAsia="仿宋"/>
                <w:sz w:val="32"/>
                <w:szCs w:val="32"/>
              </w:rPr>
            </w:pPr>
          </w:p>
        </w:tc>
        <w:tc>
          <w:tcPr>
            <w:tcW w:w="731" w:type="dxa"/>
            <w:vAlign w:val="center"/>
          </w:tcPr>
          <w:p>
            <w:pPr>
              <w:rPr>
                <w:rFonts w:ascii="仿宋" w:eastAsia="仿宋"/>
                <w:sz w:val="32"/>
                <w:szCs w:val="32"/>
              </w:rPr>
            </w:pPr>
          </w:p>
        </w:tc>
        <w:tc>
          <w:tcPr>
            <w:tcW w:w="1151" w:type="dxa"/>
            <w:vAlign w:val="center"/>
          </w:tcPr>
          <w:p>
            <w:pPr>
              <w:rPr>
                <w:rFonts w:ascii="仿宋" w:eastAsia="仿宋"/>
                <w:sz w:val="32"/>
                <w:szCs w:val="32"/>
              </w:rPr>
            </w:pPr>
          </w:p>
        </w:tc>
        <w:tc>
          <w:tcPr>
            <w:tcW w:w="1645" w:type="dxa"/>
            <w:vAlign w:val="center"/>
          </w:tcPr>
          <w:p>
            <w:pPr>
              <w:rPr>
                <w:rFonts w:ascii="仿宋" w:eastAsia="仿宋"/>
                <w:sz w:val="32"/>
                <w:szCs w:val="32"/>
              </w:rPr>
            </w:pPr>
          </w:p>
        </w:tc>
        <w:tc>
          <w:tcPr>
            <w:tcW w:w="629" w:type="dxa"/>
            <w:vAlign w:val="center"/>
          </w:tcPr>
          <w:p>
            <w:pPr>
              <w:rPr>
                <w:rFonts w:ascii="仿宋" w:eastAsia="仿宋"/>
                <w:sz w:val="32"/>
                <w:szCs w:val="32"/>
              </w:rPr>
            </w:pPr>
          </w:p>
        </w:tc>
        <w:tc>
          <w:tcPr>
            <w:tcW w:w="731" w:type="dxa"/>
            <w:vAlign w:val="center"/>
          </w:tcPr>
          <w:p>
            <w:pPr>
              <w:rPr>
                <w:rFonts w:ascii="仿宋" w:eastAsia="仿宋"/>
                <w:sz w:val="32"/>
                <w:szCs w:val="32"/>
              </w:rPr>
            </w:pPr>
          </w:p>
        </w:tc>
        <w:tc>
          <w:tcPr>
            <w:tcW w:w="1083" w:type="dxa"/>
            <w:vAlign w:val="center"/>
          </w:tcPr>
          <w:p>
            <w:pPr>
              <w:rPr>
                <w:rFonts w:ascii="仿宋" w:eastAsia="仿宋"/>
                <w:sz w:val="32"/>
                <w:szCs w:val="32"/>
              </w:rPr>
            </w:pPr>
          </w:p>
        </w:tc>
        <w:tc>
          <w:tcPr>
            <w:tcW w:w="1800" w:type="dxa"/>
            <w:vAlign w:val="center"/>
          </w:tcPr>
          <w:p>
            <w:pPr>
              <w:rPr>
                <w:rFonts w:asci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11"/>
              <w:numPr>
                <w:ilvl w:val="0"/>
                <w:numId w:val="2"/>
              </w:numPr>
              <w:ind w:firstLineChars="0"/>
              <w:rPr>
                <w:rFonts w:ascii="仿宋" w:eastAsia="仿宋"/>
                <w:sz w:val="32"/>
                <w:szCs w:val="32"/>
              </w:rPr>
            </w:pPr>
          </w:p>
        </w:tc>
        <w:tc>
          <w:tcPr>
            <w:tcW w:w="731" w:type="dxa"/>
            <w:vAlign w:val="center"/>
          </w:tcPr>
          <w:p>
            <w:pPr>
              <w:rPr>
                <w:rFonts w:ascii="仿宋" w:eastAsia="仿宋"/>
                <w:sz w:val="32"/>
                <w:szCs w:val="32"/>
              </w:rPr>
            </w:pPr>
          </w:p>
        </w:tc>
        <w:tc>
          <w:tcPr>
            <w:tcW w:w="731" w:type="dxa"/>
            <w:vAlign w:val="center"/>
          </w:tcPr>
          <w:p>
            <w:pPr>
              <w:rPr>
                <w:rFonts w:ascii="仿宋" w:eastAsia="仿宋"/>
                <w:sz w:val="32"/>
                <w:szCs w:val="32"/>
              </w:rPr>
            </w:pPr>
          </w:p>
        </w:tc>
        <w:tc>
          <w:tcPr>
            <w:tcW w:w="1151" w:type="dxa"/>
            <w:vAlign w:val="center"/>
          </w:tcPr>
          <w:p>
            <w:pPr>
              <w:rPr>
                <w:rFonts w:ascii="仿宋" w:eastAsia="仿宋"/>
                <w:sz w:val="32"/>
                <w:szCs w:val="32"/>
              </w:rPr>
            </w:pPr>
          </w:p>
        </w:tc>
        <w:tc>
          <w:tcPr>
            <w:tcW w:w="1645" w:type="dxa"/>
            <w:vAlign w:val="center"/>
          </w:tcPr>
          <w:p>
            <w:pPr>
              <w:rPr>
                <w:rFonts w:ascii="仿宋" w:eastAsia="仿宋"/>
                <w:sz w:val="32"/>
                <w:szCs w:val="32"/>
              </w:rPr>
            </w:pPr>
          </w:p>
        </w:tc>
        <w:tc>
          <w:tcPr>
            <w:tcW w:w="629" w:type="dxa"/>
            <w:vAlign w:val="center"/>
          </w:tcPr>
          <w:p>
            <w:pPr>
              <w:rPr>
                <w:rFonts w:ascii="仿宋" w:eastAsia="仿宋"/>
                <w:sz w:val="32"/>
                <w:szCs w:val="32"/>
              </w:rPr>
            </w:pPr>
          </w:p>
        </w:tc>
        <w:tc>
          <w:tcPr>
            <w:tcW w:w="731" w:type="dxa"/>
            <w:vAlign w:val="center"/>
          </w:tcPr>
          <w:p>
            <w:pPr>
              <w:rPr>
                <w:rFonts w:ascii="仿宋" w:eastAsia="仿宋"/>
                <w:sz w:val="32"/>
                <w:szCs w:val="32"/>
              </w:rPr>
            </w:pPr>
          </w:p>
        </w:tc>
        <w:tc>
          <w:tcPr>
            <w:tcW w:w="1083" w:type="dxa"/>
            <w:vAlign w:val="center"/>
          </w:tcPr>
          <w:p>
            <w:pPr>
              <w:rPr>
                <w:rFonts w:ascii="仿宋" w:eastAsia="仿宋"/>
                <w:sz w:val="32"/>
                <w:szCs w:val="32"/>
              </w:rPr>
            </w:pPr>
          </w:p>
        </w:tc>
        <w:tc>
          <w:tcPr>
            <w:tcW w:w="1800" w:type="dxa"/>
            <w:vAlign w:val="center"/>
          </w:tcPr>
          <w:p>
            <w:pPr>
              <w:rPr>
                <w:rFonts w:asci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11"/>
              <w:numPr>
                <w:ilvl w:val="0"/>
                <w:numId w:val="2"/>
              </w:numPr>
              <w:ind w:firstLineChars="0"/>
              <w:rPr>
                <w:rFonts w:ascii="仿宋" w:eastAsia="仿宋"/>
                <w:sz w:val="32"/>
                <w:szCs w:val="32"/>
              </w:rPr>
            </w:pPr>
          </w:p>
        </w:tc>
        <w:tc>
          <w:tcPr>
            <w:tcW w:w="731" w:type="dxa"/>
            <w:vAlign w:val="center"/>
          </w:tcPr>
          <w:p>
            <w:pPr>
              <w:rPr>
                <w:rFonts w:ascii="仿宋" w:eastAsia="仿宋"/>
                <w:sz w:val="32"/>
                <w:szCs w:val="32"/>
              </w:rPr>
            </w:pPr>
          </w:p>
        </w:tc>
        <w:tc>
          <w:tcPr>
            <w:tcW w:w="731" w:type="dxa"/>
            <w:vAlign w:val="center"/>
          </w:tcPr>
          <w:p>
            <w:pPr>
              <w:rPr>
                <w:rFonts w:ascii="仿宋" w:eastAsia="仿宋"/>
                <w:sz w:val="32"/>
                <w:szCs w:val="32"/>
              </w:rPr>
            </w:pPr>
          </w:p>
        </w:tc>
        <w:tc>
          <w:tcPr>
            <w:tcW w:w="1151" w:type="dxa"/>
            <w:vAlign w:val="center"/>
          </w:tcPr>
          <w:p>
            <w:pPr>
              <w:rPr>
                <w:rFonts w:ascii="仿宋" w:eastAsia="仿宋"/>
                <w:sz w:val="32"/>
                <w:szCs w:val="32"/>
              </w:rPr>
            </w:pPr>
          </w:p>
        </w:tc>
        <w:tc>
          <w:tcPr>
            <w:tcW w:w="1645" w:type="dxa"/>
            <w:vAlign w:val="center"/>
          </w:tcPr>
          <w:p>
            <w:pPr>
              <w:rPr>
                <w:rFonts w:ascii="仿宋" w:eastAsia="仿宋"/>
                <w:sz w:val="32"/>
                <w:szCs w:val="32"/>
              </w:rPr>
            </w:pPr>
          </w:p>
        </w:tc>
        <w:tc>
          <w:tcPr>
            <w:tcW w:w="629" w:type="dxa"/>
            <w:vAlign w:val="center"/>
          </w:tcPr>
          <w:p>
            <w:pPr>
              <w:rPr>
                <w:rFonts w:ascii="仿宋" w:eastAsia="仿宋"/>
                <w:sz w:val="32"/>
                <w:szCs w:val="32"/>
              </w:rPr>
            </w:pPr>
          </w:p>
        </w:tc>
        <w:tc>
          <w:tcPr>
            <w:tcW w:w="731" w:type="dxa"/>
            <w:vAlign w:val="center"/>
          </w:tcPr>
          <w:p>
            <w:pPr>
              <w:rPr>
                <w:rFonts w:ascii="仿宋" w:eastAsia="仿宋"/>
                <w:sz w:val="32"/>
                <w:szCs w:val="32"/>
              </w:rPr>
            </w:pPr>
          </w:p>
        </w:tc>
        <w:tc>
          <w:tcPr>
            <w:tcW w:w="1083" w:type="dxa"/>
            <w:vAlign w:val="center"/>
          </w:tcPr>
          <w:p>
            <w:pPr>
              <w:rPr>
                <w:rFonts w:ascii="仿宋" w:eastAsia="仿宋"/>
                <w:sz w:val="32"/>
                <w:szCs w:val="32"/>
              </w:rPr>
            </w:pPr>
          </w:p>
        </w:tc>
        <w:tc>
          <w:tcPr>
            <w:tcW w:w="1800" w:type="dxa"/>
            <w:vAlign w:val="center"/>
          </w:tcPr>
          <w:p>
            <w:pPr>
              <w:rPr>
                <w:rFonts w:ascii="仿宋" w:eastAsia="仿宋"/>
                <w:sz w:val="32"/>
                <w:szCs w:val="32"/>
              </w:rPr>
            </w:pPr>
          </w:p>
        </w:tc>
      </w:tr>
    </w:tbl>
    <w:p>
      <w:pPr>
        <w:spacing w:line="0" w:lineRule="atLeast"/>
        <w:ind w:left="600" w:hanging="600" w:hangingChars="200"/>
        <w:rPr>
          <w:rFonts w:ascii="仿宋" w:hAnsi="仿宋" w:eastAsia="仿宋"/>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方正小标宋简体">
    <w:altName w:val="Arial Unicode MS"/>
    <w:panose1 w:val="02000000000000000000"/>
    <w:charset w:val="86"/>
    <w:family w:val="script"/>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0514890"/>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3DA28"/>
    <w:multiLevelType w:val="singleLevel"/>
    <w:tmpl w:val="4003DA28"/>
    <w:lvl w:ilvl="0" w:tentative="0">
      <w:start w:val="1"/>
      <w:numFmt w:val="decimal"/>
      <w:suff w:val="space"/>
      <w:lvlText w:val="%1."/>
      <w:lvlJc w:val="left"/>
    </w:lvl>
  </w:abstractNum>
  <w:abstractNum w:abstractNumId="1">
    <w:nsid w:val="7CDB2B20"/>
    <w:multiLevelType w:val="multilevel"/>
    <w:tmpl w:val="7CDB2B2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D9F"/>
    <w:rsid w:val="0000346A"/>
    <w:rsid w:val="00012A3E"/>
    <w:rsid w:val="00013149"/>
    <w:rsid w:val="00017A4C"/>
    <w:rsid w:val="00022A6A"/>
    <w:rsid w:val="00033558"/>
    <w:rsid w:val="00033832"/>
    <w:rsid w:val="00034D9F"/>
    <w:rsid w:val="00044E9F"/>
    <w:rsid w:val="00047F0D"/>
    <w:rsid w:val="00065CEF"/>
    <w:rsid w:val="000703F7"/>
    <w:rsid w:val="00074714"/>
    <w:rsid w:val="0007613F"/>
    <w:rsid w:val="00076C17"/>
    <w:rsid w:val="00084F02"/>
    <w:rsid w:val="00090045"/>
    <w:rsid w:val="000C3468"/>
    <w:rsid w:val="000C6313"/>
    <w:rsid w:val="000D04AF"/>
    <w:rsid w:val="000D1CD2"/>
    <w:rsid w:val="000D669A"/>
    <w:rsid w:val="000D6CEC"/>
    <w:rsid w:val="000F0B80"/>
    <w:rsid w:val="000F6A3D"/>
    <w:rsid w:val="001173DD"/>
    <w:rsid w:val="00126570"/>
    <w:rsid w:val="0013080F"/>
    <w:rsid w:val="00131523"/>
    <w:rsid w:val="00131735"/>
    <w:rsid w:val="00146F55"/>
    <w:rsid w:val="001477AF"/>
    <w:rsid w:val="00155019"/>
    <w:rsid w:val="00173B13"/>
    <w:rsid w:val="00173C6F"/>
    <w:rsid w:val="0017759A"/>
    <w:rsid w:val="00181353"/>
    <w:rsid w:val="001831BD"/>
    <w:rsid w:val="00187AAD"/>
    <w:rsid w:val="001B1509"/>
    <w:rsid w:val="001B384A"/>
    <w:rsid w:val="001B7D2C"/>
    <w:rsid w:val="001C1821"/>
    <w:rsid w:val="001C45A0"/>
    <w:rsid w:val="001E1FA9"/>
    <w:rsid w:val="001E2A8B"/>
    <w:rsid w:val="001E4C5B"/>
    <w:rsid w:val="001F3565"/>
    <w:rsid w:val="002042A9"/>
    <w:rsid w:val="00223582"/>
    <w:rsid w:val="00230E01"/>
    <w:rsid w:val="00241790"/>
    <w:rsid w:val="002614E8"/>
    <w:rsid w:val="0026213A"/>
    <w:rsid w:val="00262AEA"/>
    <w:rsid w:val="0026791F"/>
    <w:rsid w:val="0027133E"/>
    <w:rsid w:val="0028079B"/>
    <w:rsid w:val="002872CB"/>
    <w:rsid w:val="0029354B"/>
    <w:rsid w:val="002B76BB"/>
    <w:rsid w:val="002C056D"/>
    <w:rsid w:val="002C77A1"/>
    <w:rsid w:val="002D0BB4"/>
    <w:rsid w:val="002D36EA"/>
    <w:rsid w:val="002E0BD1"/>
    <w:rsid w:val="0032230C"/>
    <w:rsid w:val="0032636A"/>
    <w:rsid w:val="00336345"/>
    <w:rsid w:val="003456C7"/>
    <w:rsid w:val="00356E46"/>
    <w:rsid w:val="00357083"/>
    <w:rsid w:val="00357E02"/>
    <w:rsid w:val="003649E8"/>
    <w:rsid w:val="00377564"/>
    <w:rsid w:val="00387C27"/>
    <w:rsid w:val="003A12B8"/>
    <w:rsid w:val="003B36BF"/>
    <w:rsid w:val="003B4E63"/>
    <w:rsid w:val="003E3F50"/>
    <w:rsid w:val="003F3545"/>
    <w:rsid w:val="003F7CA8"/>
    <w:rsid w:val="00401B6F"/>
    <w:rsid w:val="0041114B"/>
    <w:rsid w:val="00412CBA"/>
    <w:rsid w:val="00414550"/>
    <w:rsid w:val="00414628"/>
    <w:rsid w:val="00416267"/>
    <w:rsid w:val="00426E6D"/>
    <w:rsid w:val="00430EBB"/>
    <w:rsid w:val="00441D51"/>
    <w:rsid w:val="00443566"/>
    <w:rsid w:val="00452335"/>
    <w:rsid w:val="00470214"/>
    <w:rsid w:val="0047154C"/>
    <w:rsid w:val="00471A0D"/>
    <w:rsid w:val="0048234D"/>
    <w:rsid w:val="004941B5"/>
    <w:rsid w:val="004A028D"/>
    <w:rsid w:val="004A405A"/>
    <w:rsid w:val="004A7219"/>
    <w:rsid w:val="004B0B72"/>
    <w:rsid w:val="004B3F85"/>
    <w:rsid w:val="004B51FE"/>
    <w:rsid w:val="004D5862"/>
    <w:rsid w:val="005023F0"/>
    <w:rsid w:val="00525E94"/>
    <w:rsid w:val="0053146C"/>
    <w:rsid w:val="00531AF6"/>
    <w:rsid w:val="0054206C"/>
    <w:rsid w:val="00544D60"/>
    <w:rsid w:val="005461A9"/>
    <w:rsid w:val="00546A32"/>
    <w:rsid w:val="00560F2A"/>
    <w:rsid w:val="00562602"/>
    <w:rsid w:val="00571EF2"/>
    <w:rsid w:val="005A1058"/>
    <w:rsid w:val="005C0840"/>
    <w:rsid w:val="005C5565"/>
    <w:rsid w:val="005C6699"/>
    <w:rsid w:val="005E3348"/>
    <w:rsid w:val="005E7060"/>
    <w:rsid w:val="005F301B"/>
    <w:rsid w:val="00611416"/>
    <w:rsid w:val="0062364F"/>
    <w:rsid w:val="00642788"/>
    <w:rsid w:val="00644DBB"/>
    <w:rsid w:val="00651741"/>
    <w:rsid w:val="006617AD"/>
    <w:rsid w:val="006626DC"/>
    <w:rsid w:val="00664931"/>
    <w:rsid w:val="00677D8B"/>
    <w:rsid w:val="006833B0"/>
    <w:rsid w:val="00683D44"/>
    <w:rsid w:val="0069446E"/>
    <w:rsid w:val="006A3D7B"/>
    <w:rsid w:val="006A61A7"/>
    <w:rsid w:val="006C42E6"/>
    <w:rsid w:val="006D2C14"/>
    <w:rsid w:val="006D3490"/>
    <w:rsid w:val="006D4318"/>
    <w:rsid w:val="006F41FE"/>
    <w:rsid w:val="00704491"/>
    <w:rsid w:val="00706D19"/>
    <w:rsid w:val="00717BB6"/>
    <w:rsid w:val="00725DFB"/>
    <w:rsid w:val="00741EA5"/>
    <w:rsid w:val="00743061"/>
    <w:rsid w:val="00754856"/>
    <w:rsid w:val="00754882"/>
    <w:rsid w:val="00780517"/>
    <w:rsid w:val="00784594"/>
    <w:rsid w:val="0079579B"/>
    <w:rsid w:val="007C3ED1"/>
    <w:rsid w:val="007C6DEC"/>
    <w:rsid w:val="007D01EC"/>
    <w:rsid w:val="007D3B66"/>
    <w:rsid w:val="007D59CC"/>
    <w:rsid w:val="007E0691"/>
    <w:rsid w:val="007E41CE"/>
    <w:rsid w:val="007F1CBB"/>
    <w:rsid w:val="007F40E7"/>
    <w:rsid w:val="00802DCF"/>
    <w:rsid w:val="008062D3"/>
    <w:rsid w:val="008117AA"/>
    <w:rsid w:val="008164BD"/>
    <w:rsid w:val="0082067B"/>
    <w:rsid w:val="00836F95"/>
    <w:rsid w:val="00842A34"/>
    <w:rsid w:val="00845F73"/>
    <w:rsid w:val="008564E9"/>
    <w:rsid w:val="00860CB4"/>
    <w:rsid w:val="0087670C"/>
    <w:rsid w:val="00884A1A"/>
    <w:rsid w:val="00885EFB"/>
    <w:rsid w:val="008B1E1C"/>
    <w:rsid w:val="008B7C82"/>
    <w:rsid w:val="008D08D8"/>
    <w:rsid w:val="009043F1"/>
    <w:rsid w:val="00904F67"/>
    <w:rsid w:val="009070A1"/>
    <w:rsid w:val="009113F1"/>
    <w:rsid w:val="00913A7F"/>
    <w:rsid w:val="00921B69"/>
    <w:rsid w:val="0092626C"/>
    <w:rsid w:val="00926728"/>
    <w:rsid w:val="009267AC"/>
    <w:rsid w:val="0093533E"/>
    <w:rsid w:val="009373C8"/>
    <w:rsid w:val="00953BB3"/>
    <w:rsid w:val="00954E01"/>
    <w:rsid w:val="009675AA"/>
    <w:rsid w:val="0096761F"/>
    <w:rsid w:val="00981437"/>
    <w:rsid w:val="00982241"/>
    <w:rsid w:val="009A2938"/>
    <w:rsid w:val="009A511D"/>
    <w:rsid w:val="009B7234"/>
    <w:rsid w:val="009C000E"/>
    <w:rsid w:val="009D6EE5"/>
    <w:rsid w:val="009E4C17"/>
    <w:rsid w:val="00A12E53"/>
    <w:rsid w:val="00A17221"/>
    <w:rsid w:val="00A2520F"/>
    <w:rsid w:val="00A37D65"/>
    <w:rsid w:val="00A54352"/>
    <w:rsid w:val="00A55A2A"/>
    <w:rsid w:val="00A560CA"/>
    <w:rsid w:val="00A73985"/>
    <w:rsid w:val="00A8042D"/>
    <w:rsid w:val="00A83BD3"/>
    <w:rsid w:val="00A9050F"/>
    <w:rsid w:val="00A9353E"/>
    <w:rsid w:val="00A944A7"/>
    <w:rsid w:val="00AA25CA"/>
    <w:rsid w:val="00AC168E"/>
    <w:rsid w:val="00AC4E84"/>
    <w:rsid w:val="00AD0883"/>
    <w:rsid w:val="00AE1A49"/>
    <w:rsid w:val="00AE3905"/>
    <w:rsid w:val="00AE472D"/>
    <w:rsid w:val="00AE5123"/>
    <w:rsid w:val="00B009AD"/>
    <w:rsid w:val="00B14D60"/>
    <w:rsid w:val="00B21AFB"/>
    <w:rsid w:val="00B37558"/>
    <w:rsid w:val="00B4128B"/>
    <w:rsid w:val="00B54653"/>
    <w:rsid w:val="00B827B4"/>
    <w:rsid w:val="00B827C8"/>
    <w:rsid w:val="00BA011A"/>
    <w:rsid w:val="00BB2DB1"/>
    <w:rsid w:val="00BC79DE"/>
    <w:rsid w:val="00BD3C99"/>
    <w:rsid w:val="00BD5894"/>
    <w:rsid w:val="00BD5C3D"/>
    <w:rsid w:val="00BD79D1"/>
    <w:rsid w:val="00BE4092"/>
    <w:rsid w:val="00BE4989"/>
    <w:rsid w:val="00BE5E05"/>
    <w:rsid w:val="00BF49BD"/>
    <w:rsid w:val="00BF5C20"/>
    <w:rsid w:val="00C21500"/>
    <w:rsid w:val="00C250F3"/>
    <w:rsid w:val="00C260FE"/>
    <w:rsid w:val="00C301B8"/>
    <w:rsid w:val="00C34292"/>
    <w:rsid w:val="00C437AF"/>
    <w:rsid w:val="00C5068F"/>
    <w:rsid w:val="00C8208D"/>
    <w:rsid w:val="00C85478"/>
    <w:rsid w:val="00C92FD1"/>
    <w:rsid w:val="00C9761A"/>
    <w:rsid w:val="00CA361C"/>
    <w:rsid w:val="00CA77B2"/>
    <w:rsid w:val="00CB0BBC"/>
    <w:rsid w:val="00CB3A13"/>
    <w:rsid w:val="00CB43DF"/>
    <w:rsid w:val="00CB57F6"/>
    <w:rsid w:val="00CC4120"/>
    <w:rsid w:val="00CD244F"/>
    <w:rsid w:val="00CD3965"/>
    <w:rsid w:val="00CE21F8"/>
    <w:rsid w:val="00CF556A"/>
    <w:rsid w:val="00D07C19"/>
    <w:rsid w:val="00D15D2F"/>
    <w:rsid w:val="00D237BB"/>
    <w:rsid w:val="00D335E5"/>
    <w:rsid w:val="00D34584"/>
    <w:rsid w:val="00D35020"/>
    <w:rsid w:val="00D4146F"/>
    <w:rsid w:val="00D51E1D"/>
    <w:rsid w:val="00D553A2"/>
    <w:rsid w:val="00D55ED2"/>
    <w:rsid w:val="00D601F4"/>
    <w:rsid w:val="00D734CE"/>
    <w:rsid w:val="00D82384"/>
    <w:rsid w:val="00D8240D"/>
    <w:rsid w:val="00D97BD5"/>
    <w:rsid w:val="00DA342C"/>
    <w:rsid w:val="00DD176B"/>
    <w:rsid w:val="00DD54DA"/>
    <w:rsid w:val="00DE318C"/>
    <w:rsid w:val="00DE4762"/>
    <w:rsid w:val="00DE4D2D"/>
    <w:rsid w:val="00DF50F5"/>
    <w:rsid w:val="00E11786"/>
    <w:rsid w:val="00E21B95"/>
    <w:rsid w:val="00E2295E"/>
    <w:rsid w:val="00E25A56"/>
    <w:rsid w:val="00E3681C"/>
    <w:rsid w:val="00E40AB4"/>
    <w:rsid w:val="00E41CFF"/>
    <w:rsid w:val="00E433BE"/>
    <w:rsid w:val="00E47010"/>
    <w:rsid w:val="00E61EE2"/>
    <w:rsid w:val="00E6676A"/>
    <w:rsid w:val="00E670A7"/>
    <w:rsid w:val="00E72427"/>
    <w:rsid w:val="00E76AE1"/>
    <w:rsid w:val="00E81193"/>
    <w:rsid w:val="00E82087"/>
    <w:rsid w:val="00E96E50"/>
    <w:rsid w:val="00EC446A"/>
    <w:rsid w:val="00EE1041"/>
    <w:rsid w:val="00EE202B"/>
    <w:rsid w:val="00F05314"/>
    <w:rsid w:val="00F15405"/>
    <w:rsid w:val="00F26980"/>
    <w:rsid w:val="00F2719A"/>
    <w:rsid w:val="00F30078"/>
    <w:rsid w:val="00F42461"/>
    <w:rsid w:val="00F46BFE"/>
    <w:rsid w:val="00F50F5A"/>
    <w:rsid w:val="00F84A7E"/>
    <w:rsid w:val="00F87E94"/>
    <w:rsid w:val="00F96D14"/>
    <w:rsid w:val="00F973BB"/>
    <w:rsid w:val="00FC2713"/>
    <w:rsid w:val="00FC3EF7"/>
    <w:rsid w:val="00FD47F3"/>
    <w:rsid w:val="00FD5D70"/>
    <w:rsid w:val="00FE7DAF"/>
    <w:rsid w:val="00FF0942"/>
    <w:rsid w:val="00FF2F31"/>
    <w:rsid w:val="03EE7AAF"/>
    <w:rsid w:val="04612D37"/>
    <w:rsid w:val="06B66DD2"/>
    <w:rsid w:val="09EE49A2"/>
    <w:rsid w:val="0B686E5A"/>
    <w:rsid w:val="0CDE4847"/>
    <w:rsid w:val="0DC054B2"/>
    <w:rsid w:val="0DE71F71"/>
    <w:rsid w:val="0DFC59AE"/>
    <w:rsid w:val="0FD1416A"/>
    <w:rsid w:val="10287431"/>
    <w:rsid w:val="19195D8A"/>
    <w:rsid w:val="1CBA1932"/>
    <w:rsid w:val="1CE573D1"/>
    <w:rsid w:val="1EB2599C"/>
    <w:rsid w:val="1EBF43D9"/>
    <w:rsid w:val="1EF60689"/>
    <w:rsid w:val="1F5A46FA"/>
    <w:rsid w:val="2A4E31AA"/>
    <w:rsid w:val="2AA32A61"/>
    <w:rsid w:val="2B850F9F"/>
    <w:rsid w:val="2BA46395"/>
    <w:rsid w:val="2D1041A5"/>
    <w:rsid w:val="3517036F"/>
    <w:rsid w:val="356E3287"/>
    <w:rsid w:val="35887576"/>
    <w:rsid w:val="370D60B2"/>
    <w:rsid w:val="38557F64"/>
    <w:rsid w:val="388F096C"/>
    <w:rsid w:val="3E9606B9"/>
    <w:rsid w:val="43453358"/>
    <w:rsid w:val="47931732"/>
    <w:rsid w:val="49B3290E"/>
    <w:rsid w:val="4AB2305D"/>
    <w:rsid w:val="4C485BC1"/>
    <w:rsid w:val="4C971605"/>
    <w:rsid w:val="4D7021FB"/>
    <w:rsid w:val="4E7A4D52"/>
    <w:rsid w:val="4F60753A"/>
    <w:rsid w:val="4FB372A1"/>
    <w:rsid w:val="518F7216"/>
    <w:rsid w:val="539E6351"/>
    <w:rsid w:val="54CD1331"/>
    <w:rsid w:val="573F7B15"/>
    <w:rsid w:val="594F73A6"/>
    <w:rsid w:val="5BBC3AA6"/>
    <w:rsid w:val="5E925658"/>
    <w:rsid w:val="5EF754D0"/>
    <w:rsid w:val="5F682AEA"/>
    <w:rsid w:val="61120392"/>
    <w:rsid w:val="66E50FCF"/>
    <w:rsid w:val="67905C74"/>
    <w:rsid w:val="693C4362"/>
    <w:rsid w:val="6B561874"/>
    <w:rsid w:val="6FD43BB5"/>
    <w:rsid w:val="70E03275"/>
    <w:rsid w:val="71022C0C"/>
    <w:rsid w:val="71E05735"/>
    <w:rsid w:val="71F8477C"/>
    <w:rsid w:val="724A5730"/>
    <w:rsid w:val="7786117C"/>
    <w:rsid w:val="78B94E8A"/>
    <w:rsid w:val="7B98184A"/>
    <w:rsid w:val="7E592FBF"/>
    <w:rsid w:val="7E9C1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563C1"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7"/>
    <w:link w:val="2"/>
    <w:semiHidden/>
    <w:qFormat/>
    <w:uiPriority w:val="99"/>
    <w:rPr>
      <w:rFonts w:ascii="Times New Roman" w:hAnsi="Times New Roman" w:eastAsia="宋体" w:cs="Times New Roman"/>
      <w:sz w:val="18"/>
      <w:szCs w:val="18"/>
    </w:rPr>
  </w:style>
  <w:style w:type="character" w:styleId="13">
    <w:name w:val="Placeholder Text"/>
    <w:basedOn w:val="7"/>
    <w:semiHidden/>
    <w:qFormat/>
    <w:uiPriority w:val="99"/>
    <w:rPr>
      <w:color w:val="808080"/>
    </w:rPr>
  </w:style>
  <w:style w:type="paragraph" w:styleId="14">
    <w:name w:val="No Spacing"/>
    <w:link w:val="15"/>
    <w:qFormat/>
    <w:uiPriority w:val="1"/>
    <w:rPr>
      <w:rFonts w:asciiTheme="minorHAnsi" w:hAnsiTheme="minorHAnsi" w:eastAsiaTheme="minorEastAsia" w:cstheme="minorBidi"/>
      <w:sz w:val="22"/>
      <w:szCs w:val="22"/>
      <w:lang w:val="en-US" w:eastAsia="zh-CN" w:bidi="ar-SA"/>
    </w:rPr>
  </w:style>
  <w:style w:type="character" w:customStyle="1" w:styleId="15">
    <w:name w:val="无间隔 字符"/>
    <w:basedOn w:val="7"/>
    <w:link w:val="14"/>
    <w:qFormat/>
    <w:uiPriority w:val="1"/>
    <w:rPr>
      <w:sz w:val="22"/>
      <w:szCs w:val="22"/>
    </w:rPr>
  </w:style>
  <w:style w:type="character" w:customStyle="1" w:styleId="16">
    <w:name w:val="未处理的提及1"/>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21C5B2-4FD2-4893-BC69-95100AD489C2}">
  <ds:schemaRefs/>
</ds:datastoreItem>
</file>

<file path=docProps/app.xml><?xml version="1.0" encoding="utf-8"?>
<Properties xmlns="http://schemas.openxmlformats.org/officeDocument/2006/extended-properties" xmlns:vt="http://schemas.openxmlformats.org/officeDocument/2006/docPropsVTypes">
  <Template>Normal.dotm</Template>
  <Company>浙江省科学技术厅</Company>
  <Pages>3</Pages>
  <Words>411</Words>
  <Characters>2348</Characters>
  <Lines>19</Lines>
  <Paragraphs>5</Paragraphs>
  <TotalTime>1</TotalTime>
  <ScaleCrop>false</ScaleCrop>
  <LinksUpToDate>false</LinksUpToDate>
  <CharactersWithSpaces>2754</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2020-03-11T01:05:00Z</dcterms:created>
  <dc:creator>Administrator</dc:creator>
  <cp:lastModifiedBy>Administrator</cp:lastModifiedBy>
  <cp:lastPrinted>2018-06-25T00:37:00Z</cp:lastPrinted>
  <dcterms:modified xsi:type="dcterms:W3CDTF">2020-03-12T07:33:40Z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